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B1" w:rsidRPr="004624B1" w:rsidRDefault="004624B1">
      <w:pPr>
        <w:rPr>
          <w:b/>
        </w:rPr>
      </w:pPr>
      <w:r w:rsidRPr="004624B1">
        <w:rPr>
          <w:b/>
        </w:rPr>
        <w:t xml:space="preserve">Annex 4: Illustration of CA </w:t>
      </w:r>
      <w:proofErr w:type="spellStart"/>
      <w:r w:rsidRPr="004624B1">
        <w:rPr>
          <w:b/>
        </w:rPr>
        <w:t>iCAT</w:t>
      </w:r>
      <w:proofErr w:type="spellEnd"/>
      <w:r w:rsidRPr="004624B1">
        <w:rPr>
          <w:b/>
        </w:rPr>
        <w:t xml:space="preserve"> requirements </w:t>
      </w:r>
    </w:p>
    <w:tbl>
      <w:tblPr>
        <w:tblStyle w:val="TableGrid"/>
        <w:tblpPr w:leftFromText="180" w:rightFromText="180" w:vertAnchor="text" w:tblpX="108" w:tblpY="1"/>
        <w:tblOverlap w:val="never"/>
        <w:tblW w:w="14376" w:type="dxa"/>
        <w:tblLook w:val="04A0"/>
      </w:tblPr>
      <w:tblGrid>
        <w:gridCol w:w="1951"/>
        <w:gridCol w:w="3119"/>
        <w:gridCol w:w="1559"/>
        <w:gridCol w:w="7747"/>
      </w:tblGrid>
      <w:tr w:rsidR="00146C26" w:rsidRPr="00671762" w:rsidTr="00DC500E">
        <w:tc>
          <w:tcPr>
            <w:tcW w:w="14376" w:type="dxa"/>
            <w:gridSpan w:val="4"/>
          </w:tcPr>
          <w:p w:rsidR="00146C26" w:rsidRPr="00806195" w:rsidRDefault="00146C26" w:rsidP="00146C26">
            <w:pPr>
              <w:spacing w:before="120" w:after="120"/>
              <w:rPr>
                <w:rFonts w:eastAsia="Times New Roman" w:cs="Times New Roman"/>
                <w:color w:val="000000" w:themeColor="text1"/>
                <w:lang w:eastAsia="en-GB"/>
              </w:rPr>
            </w:pPr>
            <w:r w:rsidRPr="00146C26">
              <w:rPr>
                <w:rFonts w:eastAsia="Times New Roman" w:cs="Times New Roman"/>
                <w:b/>
                <w:bCs/>
                <w:color w:val="000000" w:themeColor="text1"/>
                <w:lang w:eastAsia="en-GB"/>
              </w:rPr>
              <w:t>Sub-r</w:t>
            </w:r>
            <w:r w:rsidRPr="00146C26">
              <w:rPr>
                <w:rFonts w:eastAsia="Times New Roman" w:cs="Times New Roman" w:hint="eastAsia"/>
                <w:b/>
                <w:bCs/>
                <w:color w:val="000000" w:themeColor="text1"/>
                <w:lang w:eastAsia="en-GB"/>
              </w:rPr>
              <w:t>equirement 15.1:</w:t>
            </w:r>
            <w:r w:rsidRPr="00146C26">
              <w:rPr>
                <w:rFonts w:eastAsia="Times New Roman" w:cs="Times New Roman" w:hint="eastAsia"/>
                <w:color w:val="000000" w:themeColor="text1"/>
                <w:lang w:eastAsia="en-GB"/>
              </w:rPr>
              <w:t xml:space="preserve"> </w:t>
            </w:r>
            <w:r w:rsidRPr="00146C26">
              <w:rPr>
                <w:rFonts w:eastAsia="Times New Roman" w:cs="Times New Roman"/>
                <w:color w:val="000000" w:themeColor="text1"/>
                <w:lang w:eastAsia="en-GB"/>
              </w:rPr>
              <w:t>The auditor evaluates whether the evidence obtained is sufficient and appropriate so as to reduce audit risk to an acceptably low level.</w:t>
            </w:r>
          </w:p>
        </w:tc>
      </w:tr>
      <w:tr w:rsidR="00146C26" w:rsidRPr="00671762" w:rsidTr="00DC500E">
        <w:tc>
          <w:tcPr>
            <w:tcW w:w="1951" w:type="dxa"/>
          </w:tcPr>
          <w:p w:rsidR="00146C26" w:rsidRPr="00180E2B" w:rsidRDefault="00146C26" w:rsidP="00146C26">
            <w:pPr>
              <w:keepNext/>
              <w:keepLines/>
              <w:spacing w:before="120" w:after="120"/>
              <w:outlineLvl w:val="2"/>
              <w:rPr>
                <w:rFonts w:eastAsia="Times New Roman" w:cs="Calibri"/>
                <w:b/>
                <w:bCs/>
                <w:color w:val="000000" w:themeColor="text1"/>
                <w:lang w:eastAsia="en-IN" w:bidi="hi-IN"/>
              </w:rPr>
            </w:pPr>
            <w:r w:rsidRPr="00180E2B">
              <w:rPr>
                <w:rFonts w:eastAsia="Times New Roman" w:cs="Calibri"/>
                <w:b/>
                <w:bCs/>
                <w:color w:val="000000" w:themeColor="text1"/>
                <w:lang w:eastAsia="en-IN" w:bidi="hi-IN"/>
              </w:rPr>
              <w:t>Assessment Field</w:t>
            </w:r>
          </w:p>
        </w:tc>
        <w:tc>
          <w:tcPr>
            <w:tcW w:w="3119" w:type="dxa"/>
          </w:tcPr>
          <w:p w:rsidR="00146C26" w:rsidRPr="00180E2B" w:rsidRDefault="00146C26" w:rsidP="00146C26">
            <w:pPr>
              <w:keepNext/>
              <w:keepLines/>
              <w:spacing w:before="120" w:after="120"/>
              <w:jc w:val="both"/>
              <w:outlineLvl w:val="2"/>
              <w:rPr>
                <w:rFonts w:eastAsia="Times New Roman" w:cs="Calibri"/>
                <w:b/>
                <w:bCs/>
                <w:color w:val="000000" w:themeColor="text1"/>
                <w:lang w:eastAsia="en-IN" w:bidi="hi-IN"/>
              </w:rPr>
            </w:pPr>
            <w:r w:rsidRPr="00180E2B">
              <w:rPr>
                <w:rFonts w:eastAsia="Times New Roman" w:cs="Calibri"/>
                <w:b/>
                <w:bCs/>
                <w:color w:val="000000" w:themeColor="text1"/>
                <w:lang w:eastAsia="en-IN" w:bidi="hi-IN"/>
              </w:rPr>
              <w:t>Main Questions</w:t>
            </w:r>
          </w:p>
        </w:tc>
        <w:tc>
          <w:tcPr>
            <w:tcW w:w="1559" w:type="dxa"/>
          </w:tcPr>
          <w:p w:rsidR="00146C26" w:rsidRPr="00671762" w:rsidRDefault="00146C26" w:rsidP="00146C26">
            <w:pPr>
              <w:keepNext/>
              <w:keepLines/>
              <w:spacing w:before="120" w:after="120"/>
              <w:jc w:val="center"/>
              <w:outlineLvl w:val="2"/>
              <w:rPr>
                <w:rFonts w:eastAsia="Times New Roman" w:cs="Calibri"/>
                <w:b/>
                <w:color w:val="000000" w:themeColor="text1"/>
                <w:lang w:eastAsia="en-IN" w:bidi="hi-IN"/>
              </w:rPr>
            </w:pPr>
            <w:r>
              <w:rPr>
                <w:rFonts w:eastAsia="Times New Roman" w:cs="Calibri"/>
                <w:b/>
                <w:bCs/>
                <w:color w:val="000000" w:themeColor="text1"/>
                <w:lang w:eastAsia="en-IN" w:bidi="hi-IN"/>
              </w:rPr>
              <w:t>Assessment</w:t>
            </w:r>
          </w:p>
        </w:tc>
        <w:tc>
          <w:tcPr>
            <w:tcW w:w="7747" w:type="dxa"/>
          </w:tcPr>
          <w:p w:rsidR="00146C26" w:rsidRPr="00180E2B" w:rsidRDefault="00146C26" w:rsidP="00146C26">
            <w:pPr>
              <w:keepNext/>
              <w:keepLines/>
              <w:spacing w:before="120" w:after="120"/>
              <w:outlineLvl w:val="2"/>
              <w:rPr>
                <w:rFonts w:eastAsia="Times New Roman" w:cs="Calibri"/>
                <w:b/>
                <w:bCs/>
                <w:color w:val="000000" w:themeColor="text1"/>
                <w:lang w:eastAsia="en-IN" w:bidi="hi-IN"/>
              </w:rPr>
            </w:pPr>
            <w:r>
              <w:rPr>
                <w:rFonts w:eastAsia="Times New Roman" w:cs="Calibri"/>
                <w:b/>
                <w:bCs/>
                <w:color w:val="000000" w:themeColor="text1"/>
                <w:lang w:eastAsia="en-IN" w:bidi="hi-IN"/>
              </w:rPr>
              <w:t>Justification of Assessment</w:t>
            </w:r>
          </w:p>
        </w:tc>
      </w:tr>
      <w:tr w:rsidR="00146C26" w:rsidRPr="00671762" w:rsidTr="00DC500E">
        <w:tc>
          <w:tcPr>
            <w:tcW w:w="1951" w:type="dxa"/>
          </w:tcPr>
          <w:p w:rsidR="00146C26" w:rsidRPr="00180E2B" w:rsidRDefault="00146C26" w:rsidP="00146C26">
            <w:pPr>
              <w:keepNext/>
              <w:keepLines/>
              <w:spacing w:before="120" w:after="120"/>
              <w:outlineLvl w:val="2"/>
              <w:rPr>
                <w:rFonts w:eastAsia="Times New Roman" w:cs="Calibri"/>
                <w:b/>
                <w:bCs/>
                <w:color w:val="000000" w:themeColor="text1"/>
                <w:lang w:val="en-GB" w:eastAsia="en-IN" w:bidi="hi-IN"/>
              </w:rPr>
            </w:pPr>
            <w:r w:rsidRPr="00180E2B">
              <w:rPr>
                <w:rFonts w:eastAsia="Times New Roman" w:cs="Calibri"/>
                <w:b/>
                <w:bCs/>
                <w:color w:val="000000" w:themeColor="text1"/>
                <w:lang w:val="en-GB" w:eastAsia="en-IN" w:bidi="hi-IN"/>
              </w:rPr>
              <w:t>Policy</w:t>
            </w:r>
          </w:p>
        </w:tc>
        <w:tc>
          <w:tcPr>
            <w:tcW w:w="3119" w:type="dxa"/>
          </w:tcPr>
          <w:p w:rsidR="00146C26" w:rsidRPr="00146C26" w:rsidRDefault="00146C26" w:rsidP="00146C26">
            <w:pPr>
              <w:spacing w:before="120" w:after="120"/>
              <w:rPr>
                <w:rFonts w:eastAsia="Times New Roman" w:cs="Times New Roman"/>
                <w:color w:val="000000" w:themeColor="text1"/>
                <w:lang w:eastAsia="en-GB"/>
              </w:rPr>
            </w:pPr>
            <w:r w:rsidRPr="00146C26">
              <w:rPr>
                <w:rFonts w:eastAsia="Times New Roman" w:cs="Times New Roman" w:hint="eastAsia"/>
                <w:color w:val="000000" w:themeColor="text1"/>
                <w:lang w:eastAsia="en-GB"/>
              </w:rPr>
              <w:t>Determine whether the SAI has determined (in an audit manual, management decree, or other form of policy document) how the audit risk will be managed.</w:t>
            </w:r>
          </w:p>
        </w:tc>
        <w:tc>
          <w:tcPr>
            <w:tcW w:w="1559" w:type="dxa"/>
          </w:tcPr>
          <w:p w:rsidR="00146C26" w:rsidRPr="00146C26" w:rsidRDefault="00146C26" w:rsidP="00146C26">
            <w:pPr>
              <w:spacing w:before="120" w:after="120"/>
              <w:rPr>
                <w:rFonts w:eastAsia="Times New Roman" w:cs="Times New Roman"/>
                <w:color w:val="000000" w:themeColor="text1"/>
                <w:lang w:eastAsia="en-GB"/>
              </w:rPr>
            </w:pPr>
            <w:r w:rsidRPr="00146C26">
              <w:rPr>
                <w:rFonts w:eastAsia="Times New Roman" w:cs="Times New Roman" w:hint="eastAsia"/>
                <w:color w:val="000000" w:themeColor="text1"/>
                <w:lang w:eastAsia="en-GB"/>
              </w:rPr>
              <w:t>Partially met</w:t>
            </w:r>
          </w:p>
        </w:tc>
        <w:tc>
          <w:tcPr>
            <w:tcW w:w="7747" w:type="dxa"/>
          </w:tcPr>
          <w:p w:rsidR="00146C26" w:rsidRPr="00146C26" w:rsidRDefault="00146C26" w:rsidP="00146C26">
            <w:pPr>
              <w:spacing w:before="120" w:after="120"/>
              <w:rPr>
                <w:rFonts w:eastAsia="Times New Roman" w:cs="Times New Roman"/>
                <w:color w:val="000000" w:themeColor="text1"/>
                <w:lang w:eastAsia="en-GB"/>
              </w:rPr>
            </w:pPr>
            <w:r w:rsidRPr="00146C26">
              <w:rPr>
                <w:rFonts w:eastAsia="Times New Roman" w:cs="Times New Roman" w:hint="eastAsia"/>
                <w:color w:val="000000" w:themeColor="text1"/>
                <w:lang w:eastAsia="en-GB"/>
              </w:rPr>
              <w:t>Although our National Audit Standards have mentioned a</w:t>
            </w:r>
            <w:r>
              <w:rPr>
                <w:rFonts w:eastAsia="Times New Roman" w:cs="Times New Roman"/>
                <w:color w:val="000000" w:themeColor="text1"/>
                <w:lang w:eastAsia="en-GB"/>
              </w:rPr>
              <w:t>s a</w:t>
            </w:r>
            <w:r w:rsidRPr="00146C26">
              <w:rPr>
                <w:rFonts w:eastAsia="Times New Roman" w:cs="Times New Roman" w:hint="eastAsia"/>
                <w:color w:val="000000" w:themeColor="text1"/>
                <w:lang w:eastAsia="en-GB"/>
              </w:rPr>
              <w:t xml:space="preserve"> general principle that audit institutions and auditors should avoid audit risk when conducting </w:t>
            </w:r>
            <w:r>
              <w:rPr>
                <w:rFonts w:eastAsia="Times New Roman" w:cs="Times New Roman"/>
                <w:color w:val="000000" w:themeColor="text1"/>
                <w:lang w:eastAsia="en-GB"/>
              </w:rPr>
              <w:t xml:space="preserve">the </w:t>
            </w:r>
            <w:r w:rsidRPr="00146C26">
              <w:rPr>
                <w:rFonts w:eastAsia="Times New Roman" w:cs="Times New Roman" w:hint="eastAsia"/>
                <w:color w:val="000000" w:themeColor="text1"/>
                <w:lang w:eastAsia="en-GB"/>
              </w:rPr>
              <w:t>audit (</w:t>
            </w:r>
            <w:r>
              <w:rPr>
                <w:rFonts w:eastAsia="Times New Roman" w:cs="Times New Roman"/>
                <w:color w:val="000000" w:themeColor="text1"/>
                <w:lang w:eastAsia="en-GB"/>
              </w:rPr>
              <w:t>A</w:t>
            </w:r>
            <w:r w:rsidRPr="00146C26">
              <w:rPr>
                <w:rFonts w:eastAsia="Times New Roman" w:cs="Times New Roman" w:hint="eastAsia"/>
                <w:color w:val="000000" w:themeColor="text1"/>
                <w:lang w:eastAsia="en-GB"/>
              </w:rPr>
              <w:t xml:space="preserve">rticle 1), there is no </w:t>
            </w:r>
            <w:r>
              <w:rPr>
                <w:rFonts w:eastAsia="Times New Roman" w:cs="Times New Roman"/>
                <w:color w:val="000000" w:themeColor="text1"/>
                <w:lang w:eastAsia="en-GB"/>
              </w:rPr>
              <w:t xml:space="preserve">specific guidance explaining </w:t>
            </w:r>
            <w:r w:rsidRPr="00146C26">
              <w:rPr>
                <w:rFonts w:eastAsia="Times New Roman" w:cs="Times New Roman" w:hint="eastAsia"/>
                <w:color w:val="000000" w:themeColor="text1"/>
                <w:lang w:eastAsia="en-GB"/>
              </w:rPr>
              <w:t>in detail how the audit risk will be managed.</w:t>
            </w:r>
          </w:p>
        </w:tc>
      </w:tr>
      <w:tr w:rsidR="00146C26" w:rsidRPr="00671762" w:rsidTr="00146C26">
        <w:tc>
          <w:tcPr>
            <w:tcW w:w="1951" w:type="dxa"/>
          </w:tcPr>
          <w:p w:rsidR="00146C26" w:rsidRPr="00180E2B" w:rsidRDefault="00146C26" w:rsidP="00146C26">
            <w:pPr>
              <w:keepNext/>
              <w:keepLines/>
              <w:spacing w:before="120" w:after="120"/>
              <w:outlineLvl w:val="2"/>
              <w:rPr>
                <w:rFonts w:eastAsia="Times New Roman" w:cs="Calibri"/>
                <w:b/>
                <w:bCs/>
                <w:color w:val="000000" w:themeColor="text1"/>
                <w:lang w:val="en-GB" w:eastAsia="en-IN" w:bidi="hi-IN"/>
              </w:rPr>
            </w:pPr>
            <w:r w:rsidRPr="00180E2B">
              <w:rPr>
                <w:rFonts w:eastAsia="Times New Roman" w:cs="Calibri"/>
                <w:b/>
                <w:bCs/>
                <w:color w:val="000000" w:themeColor="text1"/>
                <w:lang w:val="en-GB" w:eastAsia="en-IN" w:bidi="hi-IN"/>
              </w:rPr>
              <w:t>Implementation Mechanism</w:t>
            </w:r>
          </w:p>
        </w:tc>
        <w:tc>
          <w:tcPr>
            <w:tcW w:w="3119" w:type="dxa"/>
            <w:tcBorders>
              <w:bottom w:val="single" w:sz="4" w:space="0" w:color="auto"/>
            </w:tcBorders>
          </w:tcPr>
          <w:p w:rsidR="00146C26" w:rsidRPr="00146C26" w:rsidRDefault="00146C26" w:rsidP="00146C26">
            <w:pPr>
              <w:spacing w:before="120" w:after="120"/>
              <w:rPr>
                <w:rFonts w:eastAsia="Times New Roman" w:cs="Times New Roman"/>
                <w:color w:val="000000" w:themeColor="text1"/>
                <w:lang w:eastAsia="en-GB"/>
              </w:rPr>
            </w:pPr>
            <w:r w:rsidRPr="00146C26">
              <w:rPr>
                <w:rFonts w:eastAsia="Times New Roman" w:cs="Times New Roman" w:hint="eastAsia"/>
                <w:color w:val="000000" w:themeColor="text1"/>
                <w:lang w:eastAsia="en-GB"/>
              </w:rPr>
              <w:t>Question how the auditors ensure that the evidence they have gathered is sufficient and appropriate to reduce the audit risk. What procedures exist?</w:t>
            </w:r>
          </w:p>
        </w:tc>
        <w:tc>
          <w:tcPr>
            <w:tcW w:w="1559" w:type="dxa"/>
            <w:tcBorders>
              <w:bottom w:val="single" w:sz="4" w:space="0" w:color="auto"/>
            </w:tcBorders>
          </w:tcPr>
          <w:p w:rsidR="00146C26" w:rsidRPr="00146C26" w:rsidRDefault="00146C26" w:rsidP="00146C26">
            <w:pPr>
              <w:spacing w:before="120" w:after="120"/>
              <w:rPr>
                <w:rFonts w:eastAsia="Times New Roman" w:cs="Times New Roman"/>
                <w:color w:val="000000" w:themeColor="text1"/>
                <w:lang w:eastAsia="en-GB"/>
              </w:rPr>
            </w:pPr>
            <w:r w:rsidRPr="00146C26">
              <w:rPr>
                <w:rFonts w:eastAsia="Times New Roman" w:cs="Times New Roman" w:hint="eastAsia"/>
                <w:color w:val="000000" w:themeColor="text1"/>
                <w:lang w:eastAsia="en-GB"/>
              </w:rPr>
              <w:t>Partially met</w:t>
            </w:r>
          </w:p>
        </w:tc>
        <w:tc>
          <w:tcPr>
            <w:tcW w:w="7747" w:type="dxa"/>
            <w:tcBorders>
              <w:bottom w:val="single" w:sz="4" w:space="0" w:color="auto"/>
            </w:tcBorders>
          </w:tcPr>
          <w:p w:rsidR="00146C26" w:rsidRPr="00146C26" w:rsidRDefault="00146C26" w:rsidP="00146C26">
            <w:pPr>
              <w:spacing w:before="120" w:after="120"/>
              <w:rPr>
                <w:rFonts w:eastAsia="Times New Roman" w:cs="Times New Roman"/>
                <w:color w:val="000000" w:themeColor="text1"/>
                <w:lang w:eastAsia="en-GB"/>
              </w:rPr>
            </w:pPr>
            <w:r>
              <w:rPr>
                <w:rFonts w:eastAsia="Times New Roman" w:cs="Times New Roman"/>
                <w:color w:val="000000" w:themeColor="text1"/>
                <w:lang w:eastAsia="en-GB"/>
              </w:rPr>
              <w:t>A</w:t>
            </w:r>
            <w:r w:rsidRPr="00146C26">
              <w:rPr>
                <w:rFonts w:eastAsia="Times New Roman" w:cs="Times New Roman" w:hint="eastAsia"/>
                <w:color w:val="000000" w:themeColor="text1"/>
                <w:lang w:eastAsia="en-GB"/>
              </w:rPr>
              <w:t>s required by the National Audit Standards</w:t>
            </w:r>
            <w:r>
              <w:rPr>
                <w:rFonts w:eastAsia="Times New Roman" w:cs="Times New Roman"/>
                <w:color w:val="000000" w:themeColor="text1"/>
                <w:lang w:eastAsia="en-GB"/>
              </w:rPr>
              <w:t xml:space="preserve"> </w:t>
            </w:r>
            <w:r w:rsidRPr="00146C26">
              <w:rPr>
                <w:rFonts w:eastAsia="Times New Roman" w:cs="Times New Roman" w:hint="eastAsia"/>
                <w:color w:val="000000" w:themeColor="text1"/>
                <w:lang w:eastAsia="en-GB"/>
              </w:rPr>
              <w:t>(</w:t>
            </w:r>
            <w:r>
              <w:rPr>
                <w:rFonts w:eastAsia="Times New Roman" w:cs="Times New Roman"/>
                <w:color w:val="000000" w:themeColor="text1"/>
                <w:lang w:eastAsia="en-GB"/>
              </w:rPr>
              <w:t>A</w:t>
            </w:r>
            <w:r w:rsidRPr="00146C26">
              <w:rPr>
                <w:rFonts w:eastAsia="Times New Roman" w:cs="Times New Roman" w:hint="eastAsia"/>
                <w:color w:val="000000" w:themeColor="text1"/>
                <w:lang w:eastAsia="en-GB"/>
              </w:rPr>
              <w:t xml:space="preserve">rticle 100), auditors would bear in mind and continually evaluate the evidence gathered </w:t>
            </w:r>
            <w:r>
              <w:rPr>
                <w:rFonts w:eastAsia="Times New Roman" w:cs="Times New Roman"/>
                <w:color w:val="000000" w:themeColor="text1"/>
                <w:lang w:eastAsia="en-GB"/>
              </w:rPr>
              <w:t xml:space="preserve">regarding </w:t>
            </w:r>
            <w:r w:rsidRPr="00146C26">
              <w:rPr>
                <w:rFonts w:eastAsia="Times New Roman" w:cs="Times New Roman" w:hint="eastAsia"/>
                <w:color w:val="000000" w:themeColor="text1"/>
                <w:lang w:eastAsia="en-GB"/>
              </w:rPr>
              <w:t>the subject matter to make sure the</w:t>
            </w:r>
            <w:r>
              <w:rPr>
                <w:rFonts w:eastAsia="Times New Roman" w:cs="Times New Roman"/>
                <w:color w:val="000000" w:themeColor="text1"/>
                <w:lang w:eastAsia="en-GB"/>
              </w:rPr>
              <w:t>re is</w:t>
            </w:r>
            <w:r w:rsidRPr="00146C26">
              <w:rPr>
                <w:rFonts w:eastAsia="Times New Roman" w:cs="Times New Roman" w:hint="eastAsia"/>
                <w:color w:val="000000" w:themeColor="text1"/>
                <w:lang w:eastAsia="en-GB"/>
              </w:rPr>
              <w:t xml:space="preserve"> sufficient and appropriate</w:t>
            </w:r>
            <w:r>
              <w:rPr>
                <w:rFonts w:eastAsia="Times New Roman" w:cs="Times New Roman"/>
                <w:color w:val="000000" w:themeColor="text1"/>
                <w:lang w:eastAsia="en-GB"/>
              </w:rPr>
              <w:t xml:space="preserve"> </w:t>
            </w:r>
            <w:r w:rsidRPr="00146C26">
              <w:rPr>
                <w:rFonts w:eastAsia="Times New Roman" w:cs="Times New Roman" w:hint="eastAsia"/>
                <w:color w:val="000000" w:themeColor="text1"/>
                <w:lang w:eastAsia="en-GB"/>
              </w:rPr>
              <w:t>evidence. However this process mainly rel</w:t>
            </w:r>
            <w:r>
              <w:rPr>
                <w:rFonts w:eastAsia="Times New Roman" w:cs="Times New Roman"/>
                <w:color w:val="000000" w:themeColor="text1"/>
                <w:lang w:eastAsia="en-GB"/>
              </w:rPr>
              <w:t>ies</w:t>
            </w:r>
            <w:r w:rsidRPr="00146C26">
              <w:rPr>
                <w:rFonts w:eastAsia="Times New Roman" w:cs="Times New Roman" w:hint="eastAsia"/>
                <w:color w:val="000000" w:themeColor="text1"/>
                <w:lang w:eastAsia="en-GB"/>
              </w:rPr>
              <w:t xml:space="preserve"> on the </w:t>
            </w:r>
            <w:r w:rsidRPr="00146C26">
              <w:rPr>
                <w:rFonts w:eastAsia="Times New Roman" w:cs="Times New Roman"/>
                <w:color w:val="000000" w:themeColor="text1"/>
                <w:lang w:eastAsia="en-GB"/>
              </w:rPr>
              <w:t>judgment</w:t>
            </w:r>
            <w:r w:rsidRPr="00146C26">
              <w:rPr>
                <w:rFonts w:eastAsia="Times New Roman" w:cs="Times New Roman" w:hint="eastAsia"/>
                <w:color w:val="000000" w:themeColor="text1"/>
                <w:lang w:eastAsia="en-GB"/>
              </w:rPr>
              <w:t xml:space="preserve"> of the auditors</w:t>
            </w:r>
            <w:r w:rsidR="00E15B0E">
              <w:rPr>
                <w:rFonts w:eastAsia="Times New Roman" w:cs="Times New Roman"/>
                <w:color w:val="000000" w:themeColor="text1"/>
                <w:lang w:eastAsia="en-GB"/>
              </w:rPr>
              <w:t>,</w:t>
            </w:r>
            <w:r w:rsidRPr="00146C26">
              <w:rPr>
                <w:rFonts w:eastAsia="Times New Roman" w:cs="Times New Roman" w:hint="eastAsia"/>
                <w:color w:val="000000" w:themeColor="text1"/>
                <w:lang w:eastAsia="en-GB"/>
              </w:rPr>
              <w:t xml:space="preserve"> according to their personal experience and knowledge.</w:t>
            </w:r>
            <w:r w:rsidR="00E15B0E">
              <w:rPr>
                <w:rFonts w:eastAsia="Times New Roman" w:cs="Times New Roman"/>
                <w:color w:val="000000" w:themeColor="text1"/>
                <w:lang w:eastAsia="en-GB"/>
              </w:rPr>
              <w:t xml:space="preserve"> No process is described</w:t>
            </w:r>
          </w:p>
        </w:tc>
      </w:tr>
      <w:tr w:rsidR="00146C26" w:rsidRPr="00671762" w:rsidTr="00146C26">
        <w:tc>
          <w:tcPr>
            <w:tcW w:w="1951" w:type="dxa"/>
          </w:tcPr>
          <w:p w:rsidR="00146C26" w:rsidRPr="00180E2B" w:rsidRDefault="00146C26" w:rsidP="00146C26">
            <w:pPr>
              <w:keepNext/>
              <w:keepLines/>
              <w:spacing w:before="120" w:after="120"/>
              <w:outlineLvl w:val="2"/>
              <w:rPr>
                <w:rFonts w:eastAsia="Times New Roman" w:cs="Calibri"/>
                <w:b/>
                <w:bCs/>
                <w:color w:val="000000" w:themeColor="text1"/>
                <w:lang w:val="en-GB" w:eastAsia="en-IN" w:bidi="hi-IN"/>
              </w:rPr>
            </w:pPr>
            <w:r w:rsidRPr="00180E2B">
              <w:rPr>
                <w:rFonts w:eastAsia="Times New Roman" w:cs="Calibri"/>
                <w:b/>
                <w:bCs/>
                <w:color w:val="000000" w:themeColor="text1"/>
                <w:lang w:val="en-GB" w:eastAsia="en-IN" w:bidi="hi-IN"/>
              </w:rPr>
              <w:t>Output</w:t>
            </w:r>
          </w:p>
        </w:tc>
        <w:tc>
          <w:tcPr>
            <w:tcW w:w="3119" w:type="dxa"/>
            <w:shd w:val="solid" w:color="auto" w:fill="auto"/>
          </w:tcPr>
          <w:p w:rsidR="00146C26" w:rsidRPr="00146C26" w:rsidRDefault="00146C26" w:rsidP="00146C26">
            <w:pPr>
              <w:spacing w:before="120" w:after="120"/>
              <w:rPr>
                <w:rFonts w:eastAsia="Times New Roman" w:cs="Times New Roman"/>
                <w:color w:val="000000" w:themeColor="text1"/>
                <w:lang w:eastAsia="en-GB"/>
              </w:rPr>
            </w:pPr>
          </w:p>
        </w:tc>
        <w:tc>
          <w:tcPr>
            <w:tcW w:w="1559" w:type="dxa"/>
            <w:shd w:val="solid" w:color="auto" w:fill="auto"/>
          </w:tcPr>
          <w:p w:rsidR="00146C26" w:rsidRPr="00671762" w:rsidRDefault="00146C26" w:rsidP="00146C26">
            <w:pPr>
              <w:keepNext/>
              <w:keepLines/>
              <w:spacing w:before="120" w:after="120"/>
              <w:jc w:val="center"/>
              <w:outlineLvl w:val="2"/>
              <w:rPr>
                <w:rFonts w:eastAsia="Times New Roman" w:cs="Calibri"/>
                <w:b/>
                <w:color w:val="000000" w:themeColor="text1"/>
                <w:lang w:val="en-GB" w:eastAsia="en-IN" w:bidi="hi-IN"/>
              </w:rPr>
            </w:pPr>
          </w:p>
        </w:tc>
        <w:tc>
          <w:tcPr>
            <w:tcW w:w="7747" w:type="dxa"/>
            <w:shd w:val="solid" w:color="auto" w:fill="auto"/>
          </w:tcPr>
          <w:p w:rsidR="00146C26" w:rsidRPr="00671762" w:rsidRDefault="00146C26" w:rsidP="00146C26">
            <w:pPr>
              <w:keepNext/>
              <w:keepLines/>
              <w:spacing w:before="120" w:after="120"/>
              <w:outlineLvl w:val="2"/>
              <w:rPr>
                <w:rFonts w:eastAsia="Times New Roman" w:cs="Calibri"/>
                <w:b/>
                <w:color w:val="000000" w:themeColor="text1"/>
                <w:lang w:eastAsia="en-IN" w:bidi="hi-IN"/>
              </w:rPr>
            </w:pPr>
          </w:p>
        </w:tc>
      </w:tr>
      <w:tr w:rsidR="00146C26" w:rsidRPr="00671762" w:rsidTr="00DC500E">
        <w:tc>
          <w:tcPr>
            <w:tcW w:w="1951" w:type="dxa"/>
          </w:tcPr>
          <w:p w:rsidR="00146C26" w:rsidRPr="00180E2B" w:rsidRDefault="00146C26" w:rsidP="00146C26">
            <w:pPr>
              <w:spacing w:before="120" w:after="120"/>
              <w:rPr>
                <w:rFonts w:eastAsia="Times New Roman" w:cs="Calibri"/>
                <w:b/>
                <w:bCs/>
                <w:color w:val="000000" w:themeColor="text1"/>
                <w:lang w:val="en-GB" w:eastAsia="en-IN" w:bidi="hi-IN"/>
              </w:rPr>
            </w:pPr>
            <w:r w:rsidRPr="00180E2B">
              <w:rPr>
                <w:rFonts w:eastAsia="Times New Roman" w:cs="Calibri"/>
                <w:b/>
                <w:bCs/>
                <w:color w:val="000000" w:themeColor="text1"/>
                <w:lang w:val="en-GB" w:eastAsia="en-IN" w:bidi="hi-IN"/>
              </w:rPr>
              <w:t>Documentation</w:t>
            </w:r>
          </w:p>
        </w:tc>
        <w:tc>
          <w:tcPr>
            <w:tcW w:w="3119" w:type="dxa"/>
          </w:tcPr>
          <w:p w:rsidR="00146C26" w:rsidRPr="00146C26" w:rsidRDefault="00146C26" w:rsidP="00146C26">
            <w:pPr>
              <w:spacing w:before="120" w:after="120"/>
              <w:rPr>
                <w:rFonts w:eastAsia="Times New Roman" w:cs="Times New Roman"/>
                <w:color w:val="000000" w:themeColor="text1"/>
                <w:lang w:eastAsia="en-GB"/>
              </w:rPr>
            </w:pPr>
            <w:r w:rsidRPr="00146C26">
              <w:rPr>
                <w:rFonts w:eastAsia="Times New Roman" w:cs="Times New Roman" w:hint="eastAsia"/>
                <w:color w:val="000000" w:themeColor="text1"/>
                <w:lang w:eastAsia="en-GB"/>
              </w:rPr>
              <w:t>Assess whether this is documented.</w:t>
            </w:r>
          </w:p>
        </w:tc>
        <w:tc>
          <w:tcPr>
            <w:tcW w:w="1559" w:type="dxa"/>
          </w:tcPr>
          <w:p w:rsidR="00146C26" w:rsidRPr="00146C26" w:rsidRDefault="00146C26" w:rsidP="00146C26">
            <w:pPr>
              <w:spacing w:before="120" w:after="120"/>
              <w:rPr>
                <w:rFonts w:eastAsia="Times New Roman" w:cs="Times New Roman"/>
                <w:color w:val="000000" w:themeColor="text1"/>
                <w:lang w:eastAsia="en-GB"/>
              </w:rPr>
            </w:pPr>
            <w:r w:rsidRPr="00146C26">
              <w:rPr>
                <w:rFonts w:eastAsia="Times New Roman" w:cs="Times New Roman"/>
                <w:color w:val="000000" w:themeColor="text1"/>
                <w:lang w:eastAsia="en-GB"/>
              </w:rPr>
              <w:t>Met</w:t>
            </w:r>
          </w:p>
        </w:tc>
        <w:tc>
          <w:tcPr>
            <w:tcW w:w="7747" w:type="dxa"/>
          </w:tcPr>
          <w:p w:rsidR="00146C26" w:rsidRPr="00146C26" w:rsidRDefault="00E15B0E" w:rsidP="002B5E5B">
            <w:pPr>
              <w:spacing w:before="120" w:after="120"/>
              <w:rPr>
                <w:rFonts w:eastAsia="Times New Roman" w:cs="Times New Roman"/>
                <w:color w:val="000000" w:themeColor="text1"/>
                <w:lang w:eastAsia="en-GB"/>
              </w:rPr>
            </w:pPr>
            <w:r>
              <w:rPr>
                <w:rFonts w:eastAsia="Times New Roman" w:cs="Times New Roman"/>
                <w:color w:val="000000" w:themeColor="text1"/>
                <w:lang w:eastAsia="en-GB"/>
              </w:rPr>
              <w:t>As</w:t>
            </w:r>
            <w:r w:rsidR="00146C26" w:rsidRPr="00146C26">
              <w:rPr>
                <w:rFonts w:eastAsia="Times New Roman" w:cs="Times New Roman" w:hint="eastAsia"/>
                <w:color w:val="000000" w:themeColor="text1"/>
                <w:lang w:eastAsia="en-GB"/>
              </w:rPr>
              <w:t xml:space="preserve"> required by the National Audit Standards</w:t>
            </w:r>
            <w:r>
              <w:rPr>
                <w:rFonts w:eastAsia="Times New Roman" w:cs="Times New Roman"/>
                <w:color w:val="000000" w:themeColor="text1"/>
                <w:lang w:eastAsia="en-GB"/>
              </w:rPr>
              <w:t>,</w:t>
            </w:r>
            <w:r w:rsidR="00146C26" w:rsidRPr="00146C26">
              <w:rPr>
                <w:rFonts w:eastAsia="Times New Roman" w:cs="Times New Roman" w:hint="eastAsia"/>
                <w:color w:val="000000" w:themeColor="text1"/>
                <w:lang w:eastAsia="en-GB"/>
              </w:rPr>
              <w:t xml:space="preserve"> the process of audit and </w:t>
            </w:r>
            <w:r>
              <w:rPr>
                <w:rFonts w:eastAsia="Times New Roman" w:cs="Times New Roman"/>
                <w:color w:val="000000" w:themeColor="text1"/>
                <w:lang w:eastAsia="en-GB"/>
              </w:rPr>
              <w:t xml:space="preserve">all </w:t>
            </w:r>
            <w:r w:rsidR="00146C26" w:rsidRPr="00146C26">
              <w:rPr>
                <w:rFonts w:eastAsia="Times New Roman" w:cs="Times New Roman" w:hint="eastAsia"/>
                <w:color w:val="000000" w:themeColor="text1"/>
                <w:lang w:eastAsia="en-GB"/>
              </w:rPr>
              <w:t xml:space="preserve">evidence should be documented. And in practice, </w:t>
            </w:r>
            <w:r w:rsidR="002B5E5B">
              <w:rPr>
                <w:rFonts w:eastAsia="Times New Roman" w:cs="Times New Roman"/>
                <w:color w:val="000000" w:themeColor="text1"/>
                <w:lang w:eastAsia="en-GB"/>
              </w:rPr>
              <w:t xml:space="preserve">this </w:t>
            </w:r>
            <w:r w:rsidR="00146C26" w:rsidRPr="00146C26">
              <w:rPr>
                <w:rFonts w:eastAsia="Times New Roman" w:cs="Times New Roman" w:hint="eastAsia"/>
                <w:color w:val="000000" w:themeColor="text1"/>
                <w:lang w:eastAsia="en-GB"/>
              </w:rPr>
              <w:t>is strictly followed.</w:t>
            </w:r>
          </w:p>
        </w:tc>
      </w:tr>
      <w:tr w:rsidR="00146C26" w:rsidRPr="00671762" w:rsidTr="00DC500E">
        <w:tc>
          <w:tcPr>
            <w:tcW w:w="1951" w:type="dxa"/>
          </w:tcPr>
          <w:p w:rsidR="00146C26" w:rsidRPr="00180E2B" w:rsidRDefault="00146C26" w:rsidP="00146C26">
            <w:pPr>
              <w:spacing w:before="120" w:after="120"/>
              <w:rPr>
                <w:rFonts w:eastAsia="Times New Roman" w:cs="Calibri"/>
                <w:b/>
                <w:bCs/>
                <w:color w:val="000000" w:themeColor="text1"/>
                <w:lang w:val="en-GB" w:eastAsia="en-IN" w:bidi="hi-IN"/>
              </w:rPr>
            </w:pPr>
            <w:r w:rsidRPr="00180E2B">
              <w:rPr>
                <w:rFonts w:eastAsia="Times New Roman" w:cs="Calibri"/>
                <w:b/>
                <w:bCs/>
                <w:color w:val="000000" w:themeColor="text1"/>
                <w:lang w:val="en-GB" w:eastAsia="en-IN" w:bidi="hi-IN"/>
              </w:rPr>
              <w:t xml:space="preserve">Management </w:t>
            </w:r>
            <w:r>
              <w:rPr>
                <w:rFonts w:eastAsia="Times New Roman" w:cs="Calibri"/>
                <w:b/>
                <w:bCs/>
                <w:color w:val="000000" w:themeColor="text1"/>
                <w:lang w:val="en-GB" w:eastAsia="en-IN" w:bidi="hi-IN"/>
              </w:rPr>
              <w:t xml:space="preserve">&amp; </w:t>
            </w:r>
            <w:r w:rsidRPr="00180E2B">
              <w:rPr>
                <w:rFonts w:eastAsia="Times New Roman" w:cs="Calibri"/>
                <w:b/>
                <w:bCs/>
                <w:color w:val="000000" w:themeColor="text1"/>
                <w:lang w:val="en-GB" w:eastAsia="en-IN" w:bidi="hi-IN"/>
              </w:rPr>
              <w:t>Quality Control</w:t>
            </w:r>
          </w:p>
        </w:tc>
        <w:tc>
          <w:tcPr>
            <w:tcW w:w="3119" w:type="dxa"/>
          </w:tcPr>
          <w:p w:rsidR="00146C26" w:rsidRPr="00146C26" w:rsidRDefault="00146C26" w:rsidP="00146C26">
            <w:pPr>
              <w:spacing w:before="120" w:after="120"/>
              <w:rPr>
                <w:rFonts w:eastAsia="Times New Roman" w:cs="Times New Roman"/>
                <w:color w:val="000000" w:themeColor="text1"/>
                <w:lang w:eastAsia="en-GB"/>
              </w:rPr>
            </w:pPr>
            <w:r w:rsidRPr="00146C26">
              <w:rPr>
                <w:rFonts w:eastAsia="Times New Roman" w:cs="Times New Roman" w:hint="eastAsia"/>
                <w:color w:val="000000" w:themeColor="text1"/>
                <w:lang w:eastAsia="en-GB"/>
              </w:rPr>
              <w:t>Assess if there is management intervention to achieve the desired quality.</w:t>
            </w:r>
          </w:p>
        </w:tc>
        <w:tc>
          <w:tcPr>
            <w:tcW w:w="1559" w:type="dxa"/>
          </w:tcPr>
          <w:p w:rsidR="00146C26" w:rsidRPr="00146C26" w:rsidRDefault="00146C26" w:rsidP="00146C26">
            <w:pPr>
              <w:spacing w:before="120" w:after="120"/>
              <w:rPr>
                <w:rFonts w:eastAsia="Times New Roman" w:cs="Times New Roman"/>
                <w:color w:val="000000" w:themeColor="text1"/>
                <w:lang w:eastAsia="en-GB"/>
              </w:rPr>
            </w:pPr>
            <w:r w:rsidRPr="00146C26">
              <w:rPr>
                <w:rFonts w:eastAsia="Times New Roman" w:cs="Times New Roman"/>
                <w:color w:val="000000" w:themeColor="text1"/>
                <w:lang w:eastAsia="en-GB"/>
              </w:rPr>
              <w:t>Met</w:t>
            </w:r>
          </w:p>
        </w:tc>
        <w:tc>
          <w:tcPr>
            <w:tcW w:w="7747" w:type="dxa"/>
          </w:tcPr>
          <w:p w:rsidR="00146C26" w:rsidRPr="00146C26" w:rsidRDefault="002B5E5B" w:rsidP="0019457E">
            <w:pPr>
              <w:spacing w:before="120" w:after="120"/>
              <w:rPr>
                <w:rFonts w:eastAsia="Times New Roman" w:cs="Times New Roman"/>
                <w:color w:val="000000" w:themeColor="text1"/>
                <w:lang w:eastAsia="en-GB"/>
              </w:rPr>
            </w:pPr>
            <w:r>
              <w:rPr>
                <w:rFonts w:eastAsia="Times New Roman" w:cs="Times New Roman"/>
                <w:color w:val="000000" w:themeColor="text1"/>
                <w:lang w:eastAsia="en-GB"/>
              </w:rPr>
              <w:t>A</w:t>
            </w:r>
            <w:r w:rsidR="00146C26" w:rsidRPr="00146C26">
              <w:rPr>
                <w:rFonts w:eastAsia="Times New Roman" w:cs="Times New Roman" w:hint="eastAsia"/>
                <w:color w:val="000000" w:themeColor="text1"/>
                <w:lang w:eastAsia="en-GB"/>
              </w:rPr>
              <w:t>rticle 109 of National Audit Standards require</w:t>
            </w:r>
            <w:r>
              <w:rPr>
                <w:rFonts w:eastAsia="Times New Roman" w:cs="Times New Roman"/>
                <w:color w:val="000000" w:themeColor="text1"/>
                <w:lang w:eastAsia="en-GB"/>
              </w:rPr>
              <w:t>s</w:t>
            </w:r>
            <w:r w:rsidR="00146C26" w:rsidRPr="00146C26">
              <w:rPr>
                <w:rFonts w:eastAsia="Times New Roman" w:cs="Times New Roman" w:hint="eastAsia"/>
                <w:color w:val="000000" w:themeColor="text1"/>
                <w:lang w:eastAsia="en-GB"/>
              </w:rPr>
              <w:t xml:space="preserve"> the audit team leader </w:t>
            </w:r>
            <w:r>
              <w:rPr>
                <w:rFonts w:eastAsia="Times New Roman" w:cs="Times New Roman"/>
                <w:color w:val="000000" w:themeColor="text1"/>
                <w:lang w:eastAsia="en-GB"/>
              </w:rPr>
              <w:t xml:space="preserve">to </w:t>
            </w:r>
            <w:r w:rsidR="00146C26" w:rsidRPr="00146C26">
              <w:rPr>
                <w:rFonts w:eastAsia="Times New Roman" w:cs="Times New Roman" w:hint="eastAsia"/>
                <w:color w:val="000000" w:themeColor="text1"/>
                <w:lang w:eastAsia="en-GB"/>
              </w:rPr>
              <w:t xml:space="preserve">check the sufficiency and appropriateness of audit evidence before the audit report is drafted. Article 143 of National Audit Standards require the law department of SAI </w:t>
            </w:r>
            <w:r w:rsidR="0019457E">
              <w:rPr>
                <w:rFonts w:eastAsia="Times New Roman" w:cs="Times New Roman"/>
                <w:color w:val="000000" w:themeColor="text1"/>
                <w:lang w:eastAsia="en-GB"/>
              </w:rPr>
              <w:t>to have</w:t>
            </w:r>
            <w:r w:rsidR="00146C26" w:rsidRPr="00146C26">
              <w:rPr>
                <w:rFonts w:eastAsia="Times New Roman" w:cs="Times New Roman" w:hint="eastAsia"/>
                <w:color w:val="000000" w:themeColor="text1"/>
                <w:lang w:eastAsia="en-GB"/>
              </w:rPr>
              <w:t xml:space="preserve"> a thorough c</w:t>
            </w:r>
            <w:r w:rsidR="0019457E">
              <w:rPr>
                <w:rFonts w:eastAsia="Times New Roman" w:cs="Times New Roman" w:hint="eastAsia"/>
                <w:color w:val="000000" w:themeColor="text1"/>
                <w:lang w:eastAsia="en-GB"/>
              </w:rPr>
              <w:t>heck of  all the audit program</w:t>
            </w:r>
            <w:r w:rsidR="0019457E">
              <w:rPr>
                <w:rFonts w:eastAsia="Times New Roman" w:cs="Times New Roman"/>
                <w:color w:val="000000" w:themeColor="text1"/>
                <w:lang w:eastAsia="en-GB"/>
              </w:rPr>
              <w:t>s, by also checking</w:t>
            </w:r>
            <w:r w:rsidR="00146C26" w:rsidRPr="00146C26">
              <w:rPr>
                <w:rFonts w:eastAsia="Times New Roman" w:cs="Times New Roman" w:hint="eastAsia"/>
                <w:color w:val="000000" w:themeColor="text1"/>
                <w:lang w:eastAsia="en-GB"/>
              </w:rPr>
              <w:t xml:space="preserve"> the sufficiency and appropriateness</w:t>
            </w:r>
            <w:r w:rsidR="0019457E">
              <w:rPr>
                <w:rFonts w:eastAsia="Times New Roman" w:cs="Times New Roman"/>
                <w:color w:val="000000" w:themeColor="text1"/>
                <w:lang w:eastAsia="en-GB"/>
              </w:rPr>
              <w:t xml:space="preserve"> of audit evidence</w:t>
            </w:r>
            <w:r w:rsidR="00146C26" w:rsidRPr="00146C26">
              <w:rPr>
                <w:rFonts w:eastAsia="Times New Roman" w:cs="Times New Roman" w:hint="eastAsia"/>
                <w:color w:val="000000" w:themeColor="text1"/>
                <w:lang w:eastAsia="en-GB"/>
              </w:rPr>
              <w:t xml:space="preserve">. Those requirements </w:t>
            </w:r>
            <w:r w:rsidR="0019457E">
              <w:rPr>
                <w:rFonts w:eastAsia="Times New Roman" w:cs="Times New Roman"/>
                <w:color w:val="000000" w:themeColor="text1"/>
                <w:lang w:eastAsia="en-GB"/>
              </w:rPr>
              <w:t xml:space="preserve">are being </w:t>
            </w:r>
            <w:r w:rsidR="00146C26" w:rsidRPr="00146C26">
              <w:rPr>
                <w:rFonts w:eastAsia="Times New Roman" w:cs="Times New Roman" w:hint="eastAsia"/>
                <w:color w:val="000000" w:themeColor="text1"/>
                <w:lang w:eastAsia="en-GB"/>
              </w:rPr>
              <w:t>strictly implemented.</w:t>
            </w:r>
          </w:p>
        </w:tc>
      </w:tr>
    </w:tbl>
    <w:p w:rsidR="004624B1" w:rsidRDefault="004624B1" w:rsidP="00146C26">
      <w:pPr>
        <w:spacing w:before="120" w:after="120" w:line="240" w:lineRule="auto"/>
        <w:rPr>
          <w:rFonts w:eastAsia="Times New Roman" w:cs="Times New Roman"/>
          <w:color w:val="000000" w:themeColor="text1"/>
          <w:lang w:val="en-US" w:eastAsia="en-GB"/>
        </w:rPr>
      </w:pPr>
    </w:p>
    <w:p w:rsidR="00146C26" w:rsidRPr="00146C26" w:rsidRDefault="00146C26" w:rsidP="00146C26">
      <w:pPr>
        <w:spacing w:before="120" w:after="120" w:line="240" w:lineRule="auto"/>
        <w:rPr>
          <w:rFonts w:eastAsia="Times New Roman" w:cs="Times New Roman"/>
          <w:color w:val="000000" w:themeColor="text1"/>
          <w:lang w:val="en-US" w:eastAsia="en-GB"/>
        </w:rPr>
      </w:pPr>
      <w:r w:rsidRPr="00146C26">
        <w:rPr>
          <w:rFonts w:eastAsia="Times New Roman" w:cs="Times New Roman"/>
          <w:color w:val="000000" w:themeColor="text1"/>
          <w:lang w:val="en-US" w:eastAsia="en-GB"/>
        </w:rPr>
        <w:br w:type="page"/>
      </w:r>
    </w:p>
    <w:p w:rsidR="00671762" w:rsidRPr="00671762" w:rsidRDefault="00671762" w:rsidP="00671762">
      <w:pPr>
        <w:spacing w:before="120" w:after="120" w:line="240" w:lineRule="auto"/>
        <w:rPr>
          <w:rFonts w:asciiTheme="majorHAnsi" w:eastAsia="Times New Roman" w:hAnsiTheme="majorHAnsi" w:cs="Times New Roman"/>
          <w:b/>
          <w:bCs/>
          <w:color w:val="000000" w:themeColor="text1"/>
          <w:lang w:eastAsia="en-GB"/>
        </w:rPr>
      </w:pPr>
    </w:p>
    <w:tbl>
      <w:tblPr>
        <w:tblStyle w:val="TableGrid"/>
        <w:tblpPr w:leftFromText="180" w:rightFromText="180" w:vertAnchor="text" w:tblpX="108" w:tblpY="1"/>
        <w:tblOverlap w:val="never"/>
        <w:tblW w:w="14376" w:type="dxa"/>
        <w:tblLook w:val="04A0"/>
      </w:tblPr>
      <w:tblGrid>
        <w:gridCol w:w="1951"/>
        <w:gridCol w:w="3119"/>
        <w:gridCol w:w="1559"/>
        <w:gridCol w:w="7747"/>
      </w:tblGrid>
      <w:tr w:rsidR="00E43500" w:rsidRPr="00671762" w:rsidTr="0096219C">
        <w:tc>
          <w:tcPr>
            <w:tcW w:w="14376" w:type="dxa"/>
            <w:gridSpan w:val="4"/>
          </w:tcPr>
          <w:p w:rsidR="00E43500" w:rsidRPr="00806195" w:rsidRDefault="00146C26" w:rsidP="00146C26">
            <w:pPr>
              <w:spacing w:before="120" w:after="120"/>
              <w:rPr>
                <w:rFonts w:eastAsia="Times New Roman" w:cs="Times New Roman"/>
                <w:color w:val="000000" w:themeColor="text1"/>
                <w:lang w:eastAsia="en-GB"/>
              </w:rPr>
            </w:pPr>
            <w:r>
              <w:rPr>
                <w:rFonts w:eastAsia="Times New Roman" w:cs="Times New Roman"/>
                <w:b/>
                <w:bCs/>
                <w:color w:val="000000" w:themeColor="text1"/>
                <w:lang w:eastAsia="en-GB"/>
              </w:rPr>
              <w:t>Sub-r</w:t>
            </w:r>
            <w:r w:rsidR="00E43500" w:rsidRPr="00671762">
              <w:rPr>
                <w:rFonts w:eastAsia="Times New Roman" w:cs="Times New Roman"/>
                <w:b/>
                <w:bCs/>
                <w:color w:val="000000" w:themeColor="text1"/>
                <w:lang w:eastAsia="en-GB"/>
              </w:rPr>
              <w:t xml:space="preserve">equirement 15.5: </w:t>
            </w:r>
            <w:r w:rsidR="00E43500" w:rsidRPr="00671762">
              <w:rPr>
                <w:rFonts w:eastAsia="Times New Roman" w:cs="Times New Roman"/>
                <w:color w:val="000000" w:themeColor="text1"/>
                <w:lang w:eastAsia="en-GB"/>
              </w:rPr>
              <w:t>The auditor performs audit procedures to determine if there are events that have occurred after the completion of the fieldwork and up until the date of the compliance audit report that may result in material non-compliance.</w:t>
            </w:r>
          </w:p>
        </w:tc>
      </w:tr>
      <w:tr w:rsidR="00180E2B" w:rsidRPr="00671762" w:rsidTr="00021A82">
        <w:tc>
          <w:tcPr>
            <w:tcW w:w="1951" w:type="dxa"/>
          </w:tcPr>
          <w:p w:rsidR="00180E2B" w:rsidRPr="00180E2B" w:rsidRDefault="00180E2B" w:rsidP="00180E2B">
            <w:pPr>
              <w:keepNext/>
              <w:keepLines/>
              <w:spacing w:before="120" w:after="120"/>
              <w:outlineLvl w:val="2"/>
              <w:rPr>
                <w:rFonts w:eastAsia="Times New Roman" w:cs="Calibri"/>
                <w:b/>
                <w:bCs/>
                <w:color w:val="000000" w:themeColor="text1"/>
                <w:lang w:eastAsia="en-IN" w:bidi="hi-IN"/>
              </w:rPr>
            </w:pPr>
            <w:r w:rsidRPr="00180E2B">
              <w:rPr>
                <w:rFonts w:eastAsia="Times New Roman" w:cs="Calibri"/>
                <w:b/>
                <w:bCs/>
                <w:color w:val="000000" w:themeColor="text1"/>
                <w:lang w:eastAsia="en-IN" w:bidi="hi-IN"/>
              </w:rPr>
              <w:t>Assessment Field</w:t>
            </w:r>
          </w:p>
        </w:tc>
        <w:tc>
          <w:tcPr>
            <w:tcW w:w="3119" w:type="dxa"/>
          </w:tcPr>
          <w:p w:rsidR="00180E2B" w:rsidRPr="00180E2B" w:rsidRDefault="00180E2B" w:rsidP="00180E2B">
            <w:pPr>
              <w:keepNext/>
              <w:keepLines/>
              <w:spacing w:before="120" w:after="120"/>
              <w:jc w:val="both"/>
              <w:outlineLvl w:val="2"/>
              <w:rPr>
                <w:rFonts w:eastAsia="Times New Roman" w:cs="Calibri"/>
                <w:b/>
                <w:bCs/>
                <w:color w:val="000000" w:themeColor="text1"/>
                <w:lang w:eastAsia="en-IN" w:bidi="hi-IN"/>
              </w:rPr>
            </w:pPr>
            <w:r w:rsidRPr="00180E2B">
              <w:rPr>
                <w:rFonts w:eastAsia="Times New Roman" w:cs="Calibri"/>
                <w:b/>
                <w:bCs/>
                <w:color w:val="000000" w:themeColor="text1"/>
                <w:lang w:eastAsia="en-IN" w:bidi="hi-IN"/>
              </w:rPr>
              <w:t>Main Questions</w:t>
            </w:r>
          </w:p>
        </w:tc>
        <w:tc>
          <w:tcPr>
            <w:tcW w:w="1559" w:type="dxa"/>
          </w:tcPr>
          <w:p w:rsidR="00180E2B" w:rsidRPr="00671762" w:rsidRDefault="00180E2B" w:rsidP="00180E2B">
            <w:pPr>
              <w:keepNext/>
              <w:keepLines/>
              <w:spacing w:before="120" w:after="120"/>
              <w:jc w:val="center"/>
              <w:outlineLvl w:val="2"/>
              <w:rPr>
                <w:rFonts w:eastAsia="Times New Roman" w:cs="Calibri"/>
                <w:b/>
                <w:color w:val="000000" w:themeColor="text1"/>
                <w:lang w:eastAsia="en-IN" w:bidi="hi-IN"/>
              </w:rPr>
            </w:pPr>
            <w:r>
              <w:rPr>
                <w:rFonts w:eastAsia="Times New Roman" w:cs="Calibri"/>
                <w:b/>
                <w:bCs/>
                <w:color w:val="000000" w:themeColor="text1"/>
                <w:lang w:eastAsia="en-IN" w:bidi="hi-IN"/>
              </w:rPr>
              <w:t>Assessment</w:t>
            </w:r>
          </w:p>
        </w:tc>
        <w:tc>
          <w:tcPr>
            <w:tcW w:w="7747" w:type="dxa"/>
          </w:tcPr>
          <w:p w:rsidR="00180E2B" w:rsidRPr="00180E2B" w:rsidRDefault="00180E2B" w:rsidP="00180E2B">
            <w:pPr>
              <w:keepNext/>
              <w:keepLines/>
              <w:spacing w:before="120" w:after="120"/>
              <w:outlineLvl w:val="2"/>
              <w:rPr>
                <w:rFonts w:eastAsia="Times New Roman" w:cs="Calibri"/>
                <w:b/>
                <w:bCs/>
                <w:color w:val="000000" w:themeColor="text1"/>
                <w:lang w:eastAsia="en-IN" w:bidi="hi-IN"/>
              </w:rPr>
            </w:pPr>
            <w:r>
              <w:rPr>
                <w:rFonts w:eastAsia="Times New Roman" w:cs="Calibri"/>
                <w:b/>
                <w:bCs/>
                <w:color w:val="000000" w:themeColor="text1"/>
                <w:lang w:eastAsia="en-IN" w:bidi="hi-IN"/>
              </w:rPr>
              <w:t>Justification of Assessment</w:t>
            </w:r>
          </w:p>
        </w:tc>
      </w:tr>
      <w:tr w:rsidR="00180E2B" w:rsidRPr="00671762" w:rsidTr="00021A82">
        <w:tc>
          <w:tcPr>
            <w:tcW w:w="1951" w:type="dxa"/>
          </w:tcPr>
          <w:p w:rsidR="00180E2B" w:rsidRPr="00180E2B" w:rsidRDefault="00180E2B" w:rsidP="00180E2B">
            <w:pPr>
              <w:keepNext/>
              <w:keepLines/>
              <w:spacing w:before="120" w:after="120"/>
              <w:outlineLvl w:val="2"/>
              <w:rPr>
                <w:rFonts w:eastAsia="Times New Roman" w:cs="Calibri"/>
                <w:b/>
                <w:bCs/>
                <w:color w:val="000000" w:themeColor="text1"/>
                <w:lang w:val="en-GB" w:eastAsia="en-IN" w:bidi="hi-IN"/>
              </w:rPr>
            </w:pPr>
            <w:r w:rsidRPr="00180E2B">
              <w:rPr>
                <w:rFonts w:eastAsia="Times New Roman" w:cs="Calibri"/>
                <w:b/>
                <w:bCs/>
                <w:color w:val="000000" w:themeColor="text1"/>
                <w:lang w:val="en-GB" w:eastAsia="en-IN" w:bidi="hi-IN"/>
              </w:rPr>
              <w:t>Policy</w:t>
            </w:r>
          </w:p>
        </w:tc>
        <w:tc>
          <w:tcPr>
            <w:tcW w:w="3119" w:type="dxa"/>
          </w:tcPr>
          <w:p w:rsidR="00180E2B" w:rsidRPr="00180E2B" w:rsidRDefault="00180E2B" w:rsidP="00180E2B">
            <w:pPr>
              <w:keepNext/>
              <w:keepLines/>
              <w:spacing w:before="120" w:after="120"/>
              <w:jc w:val="both"/>
              <w:outlineLvl w:val="2"/>
              <w:rPr>
                <w:rFonts w:eastAsia="Times New Roman" w:cs="Calibri"/>
                <w:i/>
                <w:iCs/>
                <w:color w:val="000000" w:themeColor="text1"/>
                <w:lang w:val="en-GB" w:eastAsia="en-IN" w:bidi="hi-IN"/>
              </w:rPr>
            </w:pPr>
            <w:r w:rsidRPr="00671762">
              <w:rPr>
                <w:rFonts w:eastAsia="Times New Roman" w:cs="Calibri"/>
                <w:i/>
                <w:iCs/>
                <w:color w:val="000000" w:themeColor="text1"/>
                <w:lang w:val="en-GB" w:eastAsia="en-IN" w:bidi="hi-IN"/>
              </w:rPr>
              <w:t>Has the SAI determined how subsequent events relevant to the scope of audit will be treated by the auditor?</w:t>
            </w:r>
          </w:p>
        </w:tc>
        <w:tc>
          <w:tcPr>
            <w:tcW w:w="1559" w:type="dxa"/>
          </w:tcPr>
          <w:p w:rsidR="00180E2B" w:rsidRPr="00E15B0E" w:rsidRDefault="00180E2B" w:rsidP="00180E2B">
            <w:pPr>
              <w:keepNext/>
              <w:keepLines/>
              <w:spacing w:before="120" w:after="120"/>
              <w:jc w:val="center"/>
              <w:outlineLvl w:val="2"/>
              <w:rPr>
                <w:rFonts w:eastAsia="Times New Roman" w:cs="Calibri"/>
                <w:bCs/>
                <w:color w:val="000000" w:themeColor="text1"/>
                <w:lang w:val="en-GB" w:eastAsia="en-IN" w:bidi="hi-IN"/>
              </w:rPr>
            </w:pPr>
            <w:r w:rsidRPr="00E15B0E">
              <w:rPr>
                <w:rFonts w:eastAsia="Times New Roman" w:cs="Calibri"/>
                <w:bCs/>
                <w:color w:val="000000" w:themeColor="text1"/>
                <w:lang w:val="en-GB" w:eastAsia="en-IN" w:bidi="hi-IN"/>
              </w:rPr>
              <w:t>Not Met</w:t>
            </w:r>
          </w:p>
        </w:tc>
        <w:tc>
          <w:tcPr>
            <w:tcW w:w="7747" w:type="dxa"/>
          </w:tcPr>
          <w:p w:rsidR="00180E2B" w:rsidRPr="00671762" w:rsidRDefault="00180E2B" w:rsidP="00180E2B">
            <w:pPr>
              <w:keepNext/>
              <w:keepLines/>
              <w:spacing w:before="120" w:after="120"/>
              <w:outlineLvl w:val="2"/>
              <w:rPr>
                <w:rFonts w:eastAsia="Times New Roman" w:cs="Calibri"/>
                <w:b/>
                <w:color w:val="000000" w:themeColor="text1"/>
                <w:lang w:eastAsia="en-IN" w:bidi="hi-IN"/>
              </w:rPr>
            </w:pPr>
            <w:r w:rsidRPr="00671762">
              <w:rPr>
                <w:rFonts w:eastAsia="Times New Roman" w:cs="Calibri"/>
                <w:color w:val="000000" w:themeColor="text1"/>
                <w:lang w:val="en-GB" w:eastAsia="en-IN" w:bidi="hi-IN"/>
              </w:rPr>
              <w:t xml:space="preserve">The Audit Standard and The Compliance Audit Manuals have stated that auditors are only responsible to report the fieldwork findings, and not what happened afterwards. This is deemed as a precautionary measure to avoid any risk of legal disputes due to insufficient audit evidence.  </w:t>
            </w:r>
          </w:p>
        </w:tc>
      </w:tr>
      <w:tr w:rsidR="00180E2B" w:rsidRPr="00671762" w:rsidTr="00021A82">
        <w:tc>
          <w:tcPr>
            <w:tcW w:w="1951" w:type="dxa"/>
          </w:tcPr>
          <w:p w:rsidR="00180E2B" w:rsidRPr="00180E2B" w:rsidRDefault="00180E2B" w:rsidP="00180E2B">
            <w:pPr>
              <w:keepNext/>
              <w:keepLines/>
              <w:spacing w:before="120" w:after="120"/>
              <w:outlineLvl w:val="2"/>
              <w:rPr>
                <w:rFonts w:eastAsia="Times New Roman" w:cs="Calibri"/>
                <w:b/>
                <w:bCs/>
                <w:color w:val="000000" w:themeColor="text1"/>
                <w:lang w:val="en-GB" w:eastAsia="en-IN" w:bidi="hi-IN"/>
              </w:rPr>
            </w:pPr>
            <w:r w:rsidRPr="00180E2B">
              <w:rPr>
                <w:rFonts w:eastAsia="Times New Roman" w:cs="Calibri"/>
                <w:b/>
                <w:bCs/>
                <w:color w:val="000000" w:themeColor="text1"/>
                <w:lang w:val="en-GB" w:eastAsia="en-IN" w:bidi="hi-IN"/>
              </w:rPr>
              <w:t>Implementation Mechanism</w:t>
            </w:r>
          </w:p>
        </w:tc>
        <w:tc>
          <w:tcPr>
            <w:tcW w:w="3119" w:type="dxa"/>
          </w:tcPr>
          <w:p w:rsidR="00180E2B" w:rsidRPr="00180E2B" w:rsidRDefault="00180E2B" w:rsidP="00180E2B">
            <w:pPr>
              <w:spacing w:before="120" w:after="120"/>
              <w:jc w:val="both"/>
              <w:rPr>
                <w:rFonts w:eastAsia="Times New Roman" w:cs="Calibri"/>
                <w:i/>
                <w:iCs/>
                <w:color w:val="000000" w:themeColor="text1"/>
                <w:lang w:val="en-GB" w:eastAsia="en-IN" w:bidi="hi-IN"/>
              </w:rPr>
            </w:pPr>
            <w:r w:rsidRPr="00671762">
              <w:rPr>
                <w:rFonts w:eastAsia="Times New Roman" w:cs="Calibri"/>
                <w:i/>
                <w:iCs/>
                <w:color w:val="000000" w:themeColor="text1"/>
                <w:lang w:val="en-GB" w:eastAsia="en-IN" w:bidi="hi-IN"/>
              </w:rPr>
              <w:t>Question what does auditors do regarding subsequent events.</w:t>
            </w:r>
          </w:p>
        </w:tc>
        <w:tc>
          <w:tcPr>
            <w:tcW w:w="1559" w:type="dxa"/>
          </w:tcPr>
          <w:p w:rsidR="00180E2B" w:rsidRPr="00E15B0E" w:rsidRDefault="00180E2B" w:rsidP="00180E2B">
            <w:pPr>
              <w:keepNext/>
              <w:keepLines/>
              <w:spacing w:before="120" w:after="120"/>
              <w:jc w:val="center"/>
              <w:outlineLvl w:val="2"/>
              <w:rPr>
                <w:rFonts w:eastAsia="Times New Roman" w:cs="Calibri"/>
                <w:bCs/>
                <w:color w:val="000000" w:themeColor="text1"/>
                <w:lang w:val="en-GB" w:eastAsia="en-IN" w:bidi="hi-IN"/>
              </w:rPr>
            </w:pPr>
            <w:r w:rsidRPr="00E15B0E">
              <w:rPr>
                <w:rFonts w:eastAsia="Times New Roman" w:cs="Calibri"/>
                <w:bCs/>
                <w:color w:val="000000" w:themeColor="text1"/>
                <w:lang w:val="en-GB" w:eastAsia="en-IN" w:bidi="hi-IN"/>
              </w:rPr>
              <w:t>Not Met</w:t>
            </w:r>
          </w:p>
        </w:tc>
        <w:tc>
          <w:tcPr>
            <w:tcW w:w="7747" w:type="dxa"/>
          </w:tcPr>
          <w:p w:rsidR="00180E2B" w:rsidRPr="00671762" w:rsidRDefault="00180E2B" w:rsidP="00180E2B">
            <w:pPr>
              <w:keepNext/>
              <w:keepLines/>
              <w:spacing w:before="120" w:after="120"/>
              <w:outlineLvl w:val="2"/>
              <w:rPr>
                <w:rFonts w:eastAsia="Times New Roman" w:cs="Calibri"/>
                <w:b/>
                <w:color w:val="000000" w:themeColor="text1"/>
                <w:lang w:eastAsia="en-IN" w:bidi="hi-IN"/>
              </w:rPr>
            </w:pPr>
            <w:r w:rsidRPr="00671762">
              <w:rPr>
                <w:rFonts w:eastAsia="Times New Roman" w:cs="Calibri"/>
                <w:color w:val="000000" w:themeColor="text1"/>
                <w:lang w:val="en-GB" w:eastAsia="en-IN" w:bidi="hi-IN"/>
              </w:rPr>
              <w:t xml:space="preserve">Auditors are assigned to perform a certain period of auditing by the SAI through the assignment letter. After the stated date with no prolongation period, the audited entity has the legal right to express their objections on the results of the audit activities. In such situations it is impossible for auditors to gather additional audit evidence.  With regard to this limitation, auditors are discouraged to include any non-compliance issues in their report, pertaining to the period following the completion of the fieldwork. If auditors become aware of any subsequent events which are significantly important and sensitive, the SAI will prolong the assignment periods of auditors to continue the fieldwork.   </w:t>
            </w:r>
          </w:p>
        </w:tc>
      </w:tr>
      <w:tr w:rsidR="00180E2B" w:rsidRPr="00671762" w:rsidTr="00021A82">
        <w:tc>
          <w:tcPr>
            <w:tcW w:w="1951" w:type="dxa"/>
          </w:tcPr>
          <w:p w:rsidR="00180E2B" w:rsidRPr="00180E2B" w:rsidRDefault="00180E2B" w:rsidP="00180E2B">
            <w:pPr>
              <w:keepNext/>
              <w:keepLines/>
              <w:spacing w:before="120" w:after="120"/>
              <w:outlineLvl w:val="2"/>
              <w:rPr>
                <w:rFonts w:eastAsia="Times New Roman" w:cs="Calibri"/>
                <w:b/>
                <w:bCs/>
                <w:color w:val="000000" w:themeColor="text1"/>
                <w:lang w:val="en-GB" w:eastAsia="en-IN" w:bidi="hi-IN"/>
              </w:rPr>
            </w:pPr>
            <w:r w:rsidRPr="00180E2B">
              <w:rPr>
                <w:rFonts w:eastAsia="Times New Roman" w:cs="Calibri"/>
                <w:b/>
                <w:bCs/>
                <w:color w:val="000000" w:themeColor="text1"/>
                <w:lang w:val="en-GB" w:eastAsia="en-IN" w:bidi="hi-IN"/>
              </w:rPr>
              <w:t>Output</w:t>
            </w:r>
          </w:p>
        </w:tc>
        <w:tc>
          <w:tcPr>
            <w:tcW w:w="3119" w:type="dxa"/>
          </w:tcPr>
          <w:p w:rsidR="00180E2B" w:rsidRPr="00180E2B" w:rsidRDefault="00180E2B" w:rsidP="00180E2B">
            <w:pPr>
              <w:spacing w:before="120" w:after="120"/>
              <w:jc w:val="both"/>
              <w:rPr>
                <w:rFonts w:eastAsia="Times New Roman" w:cs="Calibri"/>
                <w:i/>
                <w:iCs/>
                <w:color w:val="000000" w:themeColor="text1"/>
                <w:lang w:val="en-GB" w:eastAsia="en-IN" w:bidi="hi-IN"/>
              </w:rPr>
            </w:pPr>
            <w:r w:rsidRPr="00671762">
              <w:rPr>
                <w:rFonts w:eastAsia="Times New Roman" w:cs="Calibri"/>
                <w:i/>
                <w:iCs/>
                <w:color w:val="000000" w:themeColor="text1"/>
                <w:lang w:val="en-GB" w:eastAsia="en-IN" w:bidi="hi-IN"/>
              </w:rPr>
              <w:t xml:space="preserve">Look for identified subsequent events and their effects on the audit conclusion </w:t>
            </w:r>
          </w:p>
        </w:tc>
        <w:tc>
          <w:tcPr>
            <w:tcW w:w="1559" w:type="dxa"/>
          </w:tcPr>
          <w:p w:rsidR="00180E2B" w:rsidRPr="00E15B0E" w:rsidRDefault="00180E2B" w:rsidP="00180E2B">
            <w:pPr>
              <w:keepNext/>
              <w:keepLines/>
              <w:spacing w:before="120" w:after="120"/>
              <w:jc w:val="center"/>
              <w:outlineLvl w:val="2"/>
              <w:rPr>
                <w:rFonts w:eastAsia="Times New Roman" w:cs="Calibri"/>
                <w:bCs/>
                <w:color w:val="000000" w:themeColor="text1"/>
                <w:lang w:val="en-GB" w:eastAsia="en-IN" w:bidi="hi-IN"/>
              </w:rPr>
            </w:pPr>
            <w:r w:rsidRPr="00E15B0E">
              <w:rPr>
                <w:rFonts w:eastAsia="Times New Roman" w:cs="Calibri"/>
                <w:bCs/>
                <w:color w:val="000000" w:themeColor="text1"/>
                <w:lang w:val="en-GB" w:eastAsia="en-IN" w:bidi="hi-IN"/>
              </w:rPr>
              <w:t>Not Met</w:t>
            </w:r>
          </w:p>
        </w:tc>
        <w:tc>
          <w:tcPr>
            <w:tcW w:w="7747" w:type="dxa"/>
          </w:tcPr>
          <w:p w:rsidR="00180E2B" w:rsidRPr="00671762" w:rsidRDefault="00180E2B" w:rsidP="00180E2B">
            <w:pPr>
              <w:keepNext/>
              <w:keepLines/>
              <w:spacing w:before="120" w:after="120"/>
              <w:outlineLvl w:val="2"/>
              <w:rPr>
                <w:rFonts w:eastAsia="Times New Roman" w:cs="Calibri"/>
                <w:b/>
                <w:color w:val="000000" w:themeColor="text1"/>
                <w:lang w:eastAsia="en-IN" w:bidi="hi-IN"/>
              </w:rPr>
            </w:pPr>
            <w:r w:rsidRPr="00671762">
              <w:rPr>
                <w:rFonts w:eastAsia="Times New Roman" w:cs="Calibri"/>
                <w:color w:val="000000" w:themeColor="text1"/>
                <w:lang w:val="en-GB" w:eastAsia="en-IN" w:bidi="hi-IN"/>
              </w:rPr>
              <w:t>No output is available, since all activities related to subsequent events are conducted with a prolongation on the audit assignment, and these activities are considered as a part of the audit mission.</w:t>
            </w:r>
          </w:p>
        </w:tc>
      </w:tr>
      <w:tr w:rsidR="00180E2B" w:rsidRPr="00671762" w:rsidTr="00021A82">
        <w:tc>
          <w:tcPr>
            <w:tcW w:w="1951" w:type="dxa"/>
          </w:tcPr>
          <w:p w:rsidR="00180E2B" w:rsidRPr="00180E2B" w:rsidRDefault="00180E2B" w:rsidP="00180E2B">
            <w:pPr>
              <w:spacing w:before="120" w:after="120"/>
              <w:rPr>
                <w:rFonts w:eastAsia="Times New Roman" w:cs="Calibri"/>
                <w:b/>
                <w:bCs/>
                <w:color w:val="000000" w:themeColor="text1"/>
                <w:lang w:val="en-GB" w:eastAsia="en-IN" w:bidi="hi-IN"/>
              </w:rPr>
            </w:pPr>
            <w:r w:rsidRPr="00180E2B">
              <w:rPr>
                <w:rFonts w:eastAsia="Times New Roman" w:cs="Calibri"/>
                <w:b/>
                <w:bCs/>
                <w:color w:val="000000" w:themeColor="text1"/>
                <w:lang w:val="en-GB" w:eastAsia="en-IN" w:bidi="hi-IN"/>
              </w:rPr>
              <w:t>Documentation</w:t>
            </w:r>
          </w:p>
        </w:tc>
        <w:tc>
          <w:tcPr>
            <w:tcW w:w="3119" w:type="dxa"/>
          </w:tcPr>
          <w:p w:rsidR="00180E2B" w:rsidRPr="00180E2B" w:rsidRDefault="00180E2B" w:rsidP="00180E2B">
            <w:pPr>
              <w:spacing w:before="120" w:after="120"/>
              <w:jc w:val="both"/>
              <w:rPr>
                <w:rFonts w:eastAsia="Times New Roman" w:cs="Calibri"/>
                <w:i/>
                <w:iCs/>
                <w:color w:val="000000" w:themeColor="text1"/>
                <w:lang w:val="en-GB" w:eastAsia="en-IN" w:bidi="hi-IN"/>
              </w:rPr>
            </w:pPr>
            <w:r w:rsidRPr="00671762">
              <w:rPr>
                <w:rFonts w:eastAsia="Times New Roman" w:cs="Calibri"/>
                <w:i/>
                <w:iCs/>
                <w:color w:val="000000" w:themeColor="text1"/>
                <w:lang w:val="en-GB" w:eastAsia="en-IN" w:bidi="hi-IN"/>
              </w:rPr>
              <w:t>Is the related work documented?</w:t>
            </w:r>
          </w:p>
        </w:tc>
        <w:tc>
          <w:tcPr>
            <w:tcW w:w="1559" w:type="dxa"/>
          </w:tcPr>
          <w:p w:rsidR="00180E2B" w:rsidRPr="00E15B0E" w:rsidRDefault="00180E2B" w:rsidP="00180E2B">
            <w:pPr>
              <w:spacing w:before="120" w:after="120"/>
              <w:jc w:val="center"/>
              <w:rPr>
                <w:rFonts w:eastAsia="Times New Roman" w:cs="Calibri"/>
                <w:bCs/>
                <w:color w:val="000000" w:themeColor="text1"/>
                <w:lang w:val="en-GB" w:eastAsia="en-IN" w:bidi="hi-IN"/>
              </w:rPr>
            </w:pPr>
            <w:r w:rsidRPr="00E15B0E">
              <w:rPr>
                <w:rFonts w:eastAsia="Times New Roman" w:cs="Calibri"/>
                <w:bCs/>
                <w:color w:val="000000" w:themeColor="text1"/>
                <w:lang w:val="en-GB" w:eastAsia="en-IN" w:bidi="hi-IN"/>
              </w:rPr>
              <w:t>Partially Met</w:t>
            </w:r>
          </w:p>
        </w:tc>
        <w:tc>
          <w:tcPr>
            <w:tcW w:w="7747" w:type="dxa"/>
          </w:tcPr>
          <w:p w:rsidR="00180E2B" w:rsidRPr="00671762" w:rsidRDefault="00180E2B" w:rsidP="00180E2B">
            <w:pPr>
              <w:spacing w:before="120" w:after="120"/>
              <w:rPr>
                <w:rFonts w:eastAsia="Times New Roman" w:cs="Calibri"/>
                <w:b/>
                <w:color w:val="000000" w:themeColor="text1"/>
                <w:lang w:eastAsia="en-IN" w:bidi="hi-IN"/>
              </w:rPr>
            </w:pPr>
            <w:r w:rsidRPr="00671762">
              <w:rPr>
                <w:rFonts w:eastAsia="Times New Roman" w:cs="Calibri"/>
                <w:color w:val="000000" w:themeColor="text1"/>
                <w:lang w:val="en-GB" w:eastAsia="en-IN" w:bidi="hi-IN"/>
              </w:rPr>
              <w:t>If any material issue is identified prior to the completion date, relevant audit evidence is reviewed and then documented by the team leader. This information is then used to support a proposal to extend the audit duration, and is submitted to the supervisor, who will convey the matter to higher authority (in this instance, quality assurer) for approval.</w:t>
            </w:r>
          </w:p>
        </w:tc>
      </w:tr>
      <w:tr w:rsidR="00180E2B" w:rsidRPr="00671762" w:rsidTr="00021A82">
        <w:tc>
          <w:tcPr>
            <w:tcW w:w="1951" w:type="dxa"/>
          </w:tcPr>
          <w:p w:rsidR="00180E2B" w:rsidRPr="00180E2B" w:rsidRDefault="00180E2B" w:rsidP="00180E2B">
            <w:pPr>
              <w:spacing w:before="120" w:after="120"/>
              <w:rPr>
                <w:rFonts w:eastAsia="Times New Roman" w:cs="Calibri"/>
                <w:b/>
                <w:bCs/>
                <w:color w:val="000000" w:themeColor="text1"/>
                <w:lang w:val="en-GB" w:eastAsia="en-IN" w:bidi="hi-IN"/>
              </w:rPr>
            </w:pPr>
            <w:r w:rsidRPr="00180E2B">
              <w:rPr>
                <w:rFonts w:eastAsia="Times New Roman" w:cs="Calibri"/>
                <w:b/>
                <w:bCs/>
                <w:color w:val="000000" w:themeColor="text1"/>
                <w:lang w:val="en-GB" w:eastAsia="en-IN" w:bidi="hi-IN"/>
              </w:rPr>
              <w:t xml:space="preserve">Management </w:t>
            </w:r>
            <w:r>
              <w:rPr>
                <w:rFonts w:eastAsia="Times New Roman" w:cs="Calibri"/>
                <w:b/>
                <w:bCs/>
                <w:color w:val="000000" w:themeColor="text1"/>
                <w:lang w:val="en-GB" w:eastAsia="en-IN" w:bidi="hi-IN"/>
              </w:rPr>
              <w:t xml:space="preserve">&amp; </w:t>
            </w:r>
            <w:r w:rsidRPr="00180E2B">
              <w:rPr>
                <w:rFonts w:eastAsia="Times New Roman" w:cs="Calibri"/>
                <w:b/>
                <w:bCs/>
                <w:color w:val="000000" w:themeColor="text1"/>
                <w:lang w:val="en-GB" w:eastAsia="en-IN" w:bidi="hi-IN"/>
              </w:rPr>
              <w:t>Quality Control</w:t>
            </w:r>
          </w:p>
        </w:tc>
        <w:tc>
          <w:tcPr>
            <w:tcW w:w="3119" w:type="dxa"/>
          </w:tcPr>
          <w:p w:rsidR="00180E2B" w:rsidRPr="00180E2B" w:rsidRDefault="00180E2B" w:rsidP="00180E2B">
            <w:pPr>
              <w:spacing w:before="120" w:after="120"/>
              <w:rPr>
                <w:rFonts w:eastAsia="Times New Roman" w:cs="Calibri"/>
                <w:i/>
                <w:iCs/>
                <w:color w:val="000000" w:themeColor="text1"/>
                <w:lang w:val="en-GB" w:eastAsia="en-IN" w:bidi="hi-IN"/>
              </w:rPr>
            </w:pPr>
            <w:r w:rsidRPr="00671762">
              <w:rPr>
                <w:rFonts w:eastAsia="Times New Roman" w:cs="Calibri"/>
                <w:i/>
                <w:iCs/>
                <w:color w:val="000000" w:themeColor="text1"/>
                <w:lang w:val="en-GB" w:eastAsia="en-IN" w:bidi="hi-IN"/>
              </w:rPr>
              <w:t>Assess if there is management intervention to achieve the desired quality.</w:t>
            </w:r>
          </w:p>
        </w:tc>
        <w:tc>
          <w:tcPr>
            <w:tcW w:w="1559" w:type="dxa"/>
          </w:tcPr>
          <w:p w:rsidR="00180E2B" w:rsidRPr="00E15B0E" w:rsidRDefault="00180E2B" w:rsidP="00180E2B">
            <w:pPr>
              <w:spacing w:before="120" w:after="120"/>
              <w:jc w:val="center"/>
              <w:rPr>
                <w:rFonts w:eastAsia="Times New Roman" w:cs="Calibri"/>
                <w:bCs/>
                <w:color w:val="000000" w:themeColor="text1"/>
                <w:lang w:val="en-GB" w:eastAsia="en-IN" w:bidi="hi-IN"/>
              </w:rPr>
            </w:pPr>
            <w:r w:rsidRPr="00E15B0E">
              <w:rPr>
                <w:rFonts w:eastAsia="Times New Roman" w:cs="Calibri"/>
                <w:bCs/>
                <w:color w:val="000000" w:themeColor="text1"/>
                <w:lang w:val="en-GB" w:eastAsia="en-IN" w:bidi="hi-IN"/>
              </w:rPr>
              <w:t>Met</w:t>
            </w:r>
          </w:p>
        </w:tc>
        <w:tc>
          <w:tcPr>
            <w:tcW w:w="7747" w:type="dxa"/>
          </w:tcPr>
          <w:p w:rsidR="00180E2B" w:rsidRPr="00671762" w:rsidRDefault="00180E2B" w:rsidP="00180E2B">
            <w:pPr>
              <w:spacing w:before="120" w:after="120"/>
              <w:rPr>
                <w:rFonts w:eastAsia="Times New Roman" w:cs="Calibri"/>
                <w:b/>
                <w:color w:val="000000" w:themeColor="text1"/>
                <w:lang w:eastAsia="en-IN" w:bidi="hi-IN"/>
              </w:rPr>
            </w:pPr>
            <w:r w:rsidRPr="00671762">
              <w:rPr>
                <w:rFonts w:eastAsia="Times New Roman" w:cs="Calibri"/>
                <w:color w:val="000000" w:themeColor="text1"/>
                <w:lang w:val="en-GB" w:eastAsia="en-IN" w:bidi="hi-IN"/>
              </w:rPr>
              <w:t>All requests regarding extension of audit duration due to subsequent events are handler by the quality assurer. The quality assurer determines whether or not the issue is material, and thus, should be investigated further.</w:t>
            </w:r>
          </w:p>
        </w:tc>
      </w:tr>
    </w:tbl>
    <w:p w:rsidR="00FB12D2" w:rsidRPr="00671762" w:rsidRDefault="00FB12D2" w:rsidP="00B631A6">
      <w:pPr>
        <w:rPr>
          <w:color w:val="000000" w:themeColor="text1"/>
        </w:rPr>
      </w:pPr>
    </w:p>
    <w:sectPr w:rsidR="00FB12D2" w:rsidRPr="00671762" w:rsidSect="00180E2B">
      <w:pgSz w:w="16838" w:h="11906" w:orient="landscape"/>
      <w:pgMar w:top="108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49F"/>
    <w:multiLevelType w:val="multilevel"/>
    <w:tmpl w:val="71B81DAE"/>
    <w:lvl w:ilvl="0">
      <w:start w:val="15"/>
      <w:numFmt w:val="decimal"/>
      <w:lvlText w:val="%1."/>
      <w:lvlJc w:val="left"/>
      <w:pPr>
        <w:ind w:left="480" w:hanging="480"/>
      </w:pPr>
      <w:rPr>
        <w:rFonts w:asciiTheme="minorHAnsi" w:hAnsiTheme="minorHAnsi" w:hint="default"/>
        <w:b w:val="0"/>
        <w:color w:val="17365D" w:themeColor="text2" w:themeShade="BF"/>
        <w:sz w:val="24"/>
      </w:rPr>
    </w:lvl>
    <w:lvl w:ilvl="1">
      <w:start w:val="2"/>
      <w:numFmt w:val="decimal"/>
      <w:lvlText w:val="%1.%2."/>
      <w:lvlJc w:val="left"/>
      <w:pPr>
        <w:ind w:left="1800" w:hanging="720"/>
      </w:pPr>
      <w:rPr>
        <w:rFonts w:asciiTheme="minorHAnsi" w:hAnsiTheme="minorHAnsi" w:hint="default"/>
        <w:b w:val="0"/>
        <w:color w:val="17365D" w:themeColor="text2" w:themeShade="BF"/>
        <w:sz w:val="24"/>
      </w:rPr>
    </w:lvl>
    <w:lvl w:ilvl="2">
      <w:start w:val="1"/>
      <w:numFmt w:val="decimal"/>
      <w:lvlText w:val="%1.%2.%3."/>
      <w:lvlJc w:val="left"/>
      <w:pPr>
        <w:ind w:left="2880" w:hanging="720"/>
      </w:pPr>
      <w:rPr>
        <w:rFonts w:asciiTheme="minorHAnsi" w:hAnsiTheme="minorHAnsi" w:hint="default"/>
        <w:b w:val="0"/>
        <w:color w:val="17365D" w:themeColor="text2" w:themeShade="BF"/>
        <w:sz w:val="24"/>
      </w:rPr>
    </w:lvl>
    <w:lvl w:ilvl="3">
      <w:start w:val="1"/>
      <w:numFmt w:val="decimal"/>
      <w:lvlText w:val="%1.%2.%3.%4."/>
      <w:lvlJc w:val="left"/>
      <w:pPr>
        <w:ind w:left="4320" w:hanging="1080"/>
      </w:pPr>
      <w:rPr>
        <w:rFonts w:asciiTheme="minorHAnsi" w:hAnsiTheme="minorHAnsi" w:hint="default"/>
        <w:b w:val="0"/>
        <w:color w:val="17365D" w:themeColor="text2" w:themeShade="BF"/>
        <w:sz w:val="24"/>
      </w:rPr>
    </w:lvl>
    <w:lvl w:ilvl="4">
      <w:start w:val="1"/>
      <w:numFmt w:val="decimal"/>
      <w:lvlText w:val="%1.%2.%3.%4.%5."/>
      <w:lvlJc w:val="left"/>
      <w:pPr>
        <w:ind w:left="5400" w:hanging="1080"/>
      </w:pPr>
      <w:rPr>
        <w:rFonts w:asciiTheme="minorHAnsi" w:hAnsiTheme="minorHAnsi" w:hint="default"/>
        <w:b w:val="0"/>
        <w:color w:val="17365D" w:themeColor="text2" w:themeShade="BF"/>
        <w:sz w:val="24"/>
      </w:rPr>
    </w:lvl>
    <w:lvl w:ilvl="5">
      <w:start w:val="1"/>
      <w:numFmt w:val="decimal"/>
      <w:lvlText w:val="%1.%2.%3.%4.%5.%6."/>
      <w:lvlJc w:val="left"/>
      <w:pPr>
        <w:ind w:left="6840" w:hanging="1440"/>
      </w:pPr>
      <w:rPr>
        <w:rFonts w:asciiTheme="minorHAnsi" w:hAnsiTheme="minorHAnsi" w:hint="default"/>
        <w:b w:val="0"/>
        <w:color w:val="17365D" w:themeColor="text2" w:themeShade="BF"/>
        <w:sz w:val="24"/>
      </w:rPr>
    </w:lvl>
    <w:lvl w:ilvl="6">
      <w:start w:val="1"/>
      <w:numFmt w:val="decimal"/>
      <w:lvlText w:val="%1.%2.%3.%4.%5.%6.%7."/>
      <w:lvlJc w:val="left"/>
      <w:pPr>
        <w:ind w:left="7920" w:hanging="1440"/>
      </w:pPr>
      <w:rPr>
        <w:rFonts w:asciiTheme="minorHAnsi" w:hAnsiTheme="minorHAnsi" w:hint="default"/>
        <w:b w:val="0"/>
        <w:color w:val="17365D" w:themeColor="text2" w:themeShade="BF"/>
        <w:sz w:val="24"/>
      </w:rPr>
    </w:lvl>
    <w:lvl w:ilvl="7">
      <w:start w:val="1"/>
      <w:numFmt w:val="decimal"/>
      <w:lvlText w:val="%1.%2.%3.%4.%5.%6.%7.%8."/>
      <w:lvlJc w:val="left"/>
      <w:pPr>
        <w:ind w:left="9360" w:hanging="1800"/>
      </w:pPr>
      <w:rPr>
        <w:rFonts w:asciiTheme="minorHAnsi" w:hAnsiTheme="minorHAnsi" w:hint="default"/>
        <w:b w:val="0"/>
        <w:color w:val="17365D" w:themeColor="text2" w:themeShade="BF"/>
        <w:sz w:val="24"/>
      </w:rPr>
    </w:lvl>
    <w:lvl w:ilvl="8">
      <w:start w:val="1"/>
      <w:numFmt w:val="decimal"/>
      <w:lvlText w:val="%1.%2.%3.%4.%5.%6.%7.%8.%9."/>
      <w:lvlJc w:val="left"/>
      <w:pPr>
        <w:ind w:left="10440" w:hanging="1800"/>
      </w:pPr>
      <w:rPr>
        <w:rFonts w:asciiTheme="minorHAnsi" w:hAnsiTheme="minorHAnsi" w:hint="default"/>
        <w:b w:val="0"/>
        <w:color w:val="17365D" w:themeColor="text2" w:themeShade="BF"/>
        <w:sz w:val="24"/>
      </w:rPr>
    </w:lvl>
  </w:abstractNum>
  <w:abstractNum w:abstractNumId="1">
    <w:nsid w:val="114242EF"/>
    <w:multiLevelType w:val="hybridMultilevel"/>
    <w:tmpl w:val="4AA4E2A4"/>
    <w:lvl w:ilvl="0" w:tplc="34029AE6">
      <w:start w:val="1"/>
      <w:numFmt w:val="bullet"/>
      <w:pStyle w:val="ICA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71762"/>
    <w:rsid w:val="000011D4"/>
    <w:rsid w:val="00002FC9"/>
    <w:rsid w:val="00005BEB"/>
    <w:rsid w:val="00011134"/>
    <w:rsid w:val="000174E3"/>
    <w:rsid w:val="00017D47"/>
    <w:rsid w:val="00021A82"/>
    <w:rsid w:val="00024F9D"/>
    <w:rsid w:val="00025B5F"/>
    <w:rsid w:val="00026B15"/>
    <w:rsid w:val="00031542"/>
    <w:rsid w:val="00037F06"/>
    <w:rsid w:val="0004127C"/>
    <w:rsid w:val="00045FA5"/>
    <w:rsid w:val="00051FB6"/>
    <w:rsid w:val="00064D82"/>
    <w:rsid w:val="000654FC"/>
    <w:rsid w:val="000701E8"/>
    <w:rsid w:val="00071262"/>
    <w:rsid w:val="00072127"/>
    <w:rsid w:val="00072167"/>
    <w:rsid w:val="00073C62"/>
    <w:rsid w:val="000751C9"/>
    <w:rsid w:val="0007574D"/>
    <w:rsid w:val="0007650A"/>
    <w:rsid w:val="0008207D"/>
    <w:rsid w:val="00086C33"/>
    <w:rsid w:val="00090168"/>
    <w:rsid w:val="00093CCF"/>
    <w:rsid w:val="000A3378"/>
    <w:rsid w:val="000A6197"/>
    <w:rsid w:val="000A6BF7"/>
    <w:rsid w:val="000B22F1"/>
    <w:rsid w:val="000B2A3A"/>
    <w:rsid w:val="000B313F"/>
    <w:rsid w:val="000B3A58"/>
    <w:rsid w:val="000B3CDF"/>
    <w:rsid w:val="000C33FF"/>
    <w:rsid w:val="000C5BA0"/>
    <w:rsid w:val="000D5E40"/>
    <w:rsid w:val="000D5F93"/>
    <w:rsid w:val="000D75C4"/>
    <w:rsid w:val="000D7AA9"/>
    <w:rsid w:val="000E13DD"/>
    <w:rsid w:val="000F3969"/>
    <w:rsid w:val="000F6B86"/>
    <w:rsid w:val="001057EF"/>
    <w:rsid w:val="00106835"/>
    <w:rsid w:val="0011182D"/>
    <w:rsid w:val="00113777"/>
    <w:rsid w:val="00113838"/>
    <w:rsid w:val="00115008"/>
    <w:rsid w:val="00122806"/>
    <w:rsid w:val="00124DB0"/>
    <w:rsid w:val="001264A3"/>
    <w:rsid w:val="00127385"/>
    <w:rsid w:val="001327D3"/>
    <w:rsid w:val="00136C31"/>
    <w:rsid w:val="00141452"/>
    <w:rsid w:val="0014213C"/>
    <w:rsid w:val="00144D54"/>
    <w:rsid w:val="00144FC6"/>
    <w:rsid w:val="00145096"/>
    <w:rsid w:val="00146114"/>
    <w:rsid w:val="00146C26"/>
    <w:rsid w:val="001564C8"/>
    <w:rsid w:val="00161C47"/>
    <w:rsid w:val="001731D3"/>
    <w:rsid w:val="00175279"/>
    <w:rsid w:val="00175BD3"/>
    <w:rsid w:val="00176058"/>
    <w:rsid w:val="00177F1E"/>
    <w:rsid w:val="00180E2B"/>
    <w:rsid w:val="00182675"/>
    <w:rsid w:val="001926DE"/>
    <w:rsid w:val="0019457E"/>
    <w:rsid w:val="00195119"/>
    <w:rsid w:val="001A0955"/>
    <w:rsid w:val="001A0AA4"/>
    <w:rsid w:val="001A39C0"/>
    <w:rsid w:val="001A76F6"/>
    <w:rsid w:val="001B1B42"/>
    <w:rsid w:val="001B748A"/>
    <w:rsid w:val="001C1478"/>
    <w:rsid w:val="001C166F"/>
    <w:rsid w:val="001C1F0D"/>
    <w:rsid w:val="001C46A3"/>
    <w:rsid w:val="001C54E4"/>
    <w:rsid w:val="001C5545"/>
    <w:rsid w:val="001D342B"/>
    <w:rsid w:val="001D5FF2"/>
    <w:rsid w:val="00200813"/>
    <w:rsid w:val="00204C02"/>
    <w:rsid w:val="002104CF"/>
    <w:rsid w:val="00211722"/>
    <w:rsid w:val="00222D95"/>
    <w:rsid w:val="00227CC3"/>
    <w:rsid w:val="0023013E"/>
    <w:rsid w:val="00230CAB"/>
    <w:rsid w:val="002350BE"/>
    <w:rsid w:val="00241F20"/>
    <w:rsid w:val="002424C4"/>
    <w:rsid w:val="00243BE9"/>
    <w:rsid w:val="00246CF6"/>
    <w:rsid w:val="0025108D"/>
    <w:rsid w:val="0025543E"/>
    <w:rsid w:val="002600FE"/>
    <w:rsid w:val="00260957"/>
    <w:rsid w:val="00267E63"/>
    <w:rsid w:val="002757D8"/>
    <w:rsid w:val="002758A2"/>
    <w:rsid w:val="00282700"/>
    <w:rsid w:val="00283A1D"/>
    <w:rsid w:val="00290B04"/>
    <w:rsid w:val="00295578"/>
    <w:rsid w:val="00295B21"/>
    <w:rsid w:val="00296F75"/>
    <w:rsid w:val="002A0846"/>
    <w:rsid w:val="002A735C"/>
    <w:rsid w:val="002B5E5B"/>
    <w:rsid w:val="002C010F"/>
    <w:rsid w:val="002C2464"/>
    <w:rsid w:val="002C2E06"/>
    <w:rsid w:val="002C6D98"/>
    <w:rsid w:val="002C79B4"/>
    <w:rsid w:val="002D3E1D"/>
    <w:rsid w:val="002D5238"/>
    <w:rsid w:val="002D6611"/>
    <w:rsid w:val="002E4AFC"/>
    <w:rsid w:val="002E7A34"/>
    <w:rsid w:val="002F06F8"/>
    <w:rsid w:val="002F0ED4"/>
    <w:rsid w:val="002F1757"/>
    <w:rsid w:val="00314049"/>
    <w:rsid w:val="00315194"/>
    <w:rsid w:val="00315A16"/>
    <w:rsid w:val="00325C49"/>
    <w:rsid w:val="00326F6A"/>
    <w:rsid w:val="0032784E"/>
    <w:rsid w:val="00331D0C"/>
    <w:rsid w:val="00332637"/>
    <w:rsid w:val="003426FC"/>
    <w:rsid w:val="003430DC"/>
    <w:rsid w:val="003461AB"/>
    <w:rsid w:val="003525AC"/>
    <w:rsid w:val="00354B1F"/>
    <w:rsid w:val="0035539E"/>
    <w:rsid w:val="00357664"/>
    <w:rsid w:val="003605E0"/>
    <w:rsid w:val="00360C90"/>
    <w:rsid w:val="0036246A"/>
    <w:rsid w:val="003677CC"/>
    <w:rsid w:val="00371462"/>
    <w:rsid w:val="00372972"/>
    <w:rsid w:val="00373055"/>
    <w:rsid w:val="0037309E"/>
    <w:rsid w:val="00377940"/>
    <w:rsid w:val="0038098A"/>
    <w:rsid w:val="00385A8C"/>
    <w:rsid w:val="00391DD3"/>
    <w:rsid w:val="003B37B4"/>
    <w:rsid w:val="003B758A"/>
    <w:rsid w:val="003D3BEB"/>
    <w:rsid w:val="003E0A20"/>
    <w:rsid w:val="003E0E09"/>
    <w:rsid w:val="003E258B"/>
    <w:rsid w:val="003E2CAD"/>
    <w:rsid w:val="003E58C0"/>
    <w:rsid w:val="003E6B28"/>
    <w:rsid w:val="003F320C"/>
    <w:rsid w:val="003F4A8E"/>
    <w:rsid w:val="003F76B5"/>
    <w:rsid w:val="00402E3F"/>
    <w:rsid w:val="0040696E"/>
    <w:rsid w:val="00406AD8"/>
    <w:rsid w:val="00410D54"/>
    <w:rsid w:val="004137FC"/>
    <w:rsid w:val="00414A2D"/>
    <w:rsid w:val="00415C87"/>
    <w:rsid w:val="00416642"/>
    <w:rsid w:val="004166D4"/>
    <w:rsid w:val="00416767"/>
    <w:rsid w:val="004310D4"/>
    <w:rsid w:val="004328A3"/>
    <w:rsid w:val="00437E44"/>
    <w:rsid w:val="00444397"/>
    <w:rsid w:val="00446B49"/>
    <w:rsid w:val="00451C5A"/>
    <w:rsid w:val="0045794A"/>
    <w:rsid w:val="004624B1"/>
    <w:rsid w:val="00463C27"/>
    <w:rsid w:val="00470A12"/>
    <w:rsid w:val="004714D5"/>
    <w:rsid w:val="00472993"/>
    <w:rsid w:val="00476CED"/>
    <w:rsid w:val="00477897"/>
    <w:rsid w:val="004910E2"/>
    <w:rsid w:val="0049207C"/>
    <w:rsid w:val="00493719"/>
    <w:rsid w:val="004966D5"/>
    <w:rsid w:val="004A451D"/>
    <w:rsid w:val="004A6CA3"/>
    <w:rsid w:val="004A7A0A"/>
    <w:rsid w:val="004B10CB"/>
    <w:rsid w:val="004B2292"/>
    <w:rsid w:val="004B7969"/>
    <w:rsid w:val="004C66F1"/>
    <w:rsid w:val="004D2055"/>
    <w:rsid w:val="004D6F1A"/>
    <w:rsid w:val="004F0A03"/>
    <w:rsid w:val="004F1D6C"/>
    <w:rsid w:val="004F6DAB"/>
    <w:rsid w:val="004F6E23"/>
    <w:rsid w:val="005011AD"/>
    <w:rsid w:val="00511131"/>
    <w:rsid w:val="00511A91"/>
    <w:rsid w:val="00513D78"/>
    <w:rsid w:val="005300A3"/>
    <w:rsid w:val="0053105E"/>
    <w:rsid w:val="0053510B"/>
    <w:rsid w:val="00540905"/>
    <w:rsid w:val="00542CD9"/>
    <w:rsid w:val="00547764"/>
    <w:rsid w:val="00553265"/>
    <w:rsid w:val="00557342"/>
    <w:rsid w:val="00561344"/>
    <w:rsid w:val="00561C78"/>
    <w:rsid w:val="00563035"/>
    <w:rsid w:val="00566D32"/>
    <w:rsid w:val="0057169F"/>
    <w:rsid w:val="00571ED5"/>
    <w:rsid w:val="00572DF3"/>
    <w:rsid w:val="00574905"/>
    <w:rsid w:val="00574F41"/>
    <w:rsid w:val="005864C1"/>
    <w:rsid w:val="00586EAA"/>
    <w:rsid w:val="005918FF"/>
    <w:rsid w:val="00592491"/>
    <w:rsid w:val="005944DA"/>
    <w:rsid w:val="00595B1C"/>
    <w:rsid w:val="005A0AE3"/>
    <w:rsid w:val="005A1938"/>
    <w:rsid w:val="005A42FC"/>
    <w:rsid w:val="005A7BA1"/>
    <w:rsid w:val="005B06A8"/>
    <w:rsid w:val="005C1411"/>
    <w:rsid w:val="005D29BA"/>
    <w:rsid w:val="005E15C2"/>
    <w:rsid w:val="005E6597"/>
    <w:rsid w:val="005F19D5"/>
    <w:rsid w:val="005F3B61"/>
    <w:rsid w:val="005F705E"/>
    <w:rsid w:val="00601D8B"/>
    <w:rsid w:val="00602585"/>
    <w:rsid w:val="00607C08"/>
    <w:rsid w:val="00614F91"/>
    <w:rsid w:val="00624A52"/>
    <w:rsid w:val="00626C01"/>
    <w:rsid w:val="00627DF3"/>
    <w:rsid w:val="00630FBC"/>
    <w:rsid w:val="00632337"/>
    <w:rsid w:val="006348CB"/>
    <w:rsid w:val="00635AA2"/>
    <w:rsid w:val="00640942"/>
    <w:rsid w:val="00640BB5"/>
    <w:rsid w:val="006424AE"/>
    <w:rsid w:val="00642B0D"/>
    <w:rsid w:val="006438C8"/>
    <w:rsid w:val="006441E9"/>
    <w:rsid w:val="00646182"/>
    <w:rsid w:val="0066220A"/>
    <w:rsid w:val="00662BD8"/>
    <w:rsid w:val="0066333B"/>
    <w:rsid w:val="0066379D"/>
    <w:rsid w:val="006703CA"/>
    <w:rsid w:val="00671762"/>
    <w:rsid w:val="0067311B"/>
    <w:rsid w:val="00676896"/>
    <w:rsid w:val="00676FC4"/>
    <w:rsid w:val="00680DD8"/>
    <w:rsid w:val="00683DF6"/>
    <w:rsid w:val="006847A1"/>
    <w:rsid w:val="00695D33"/>
    <w:rsid w:val="006A5442"/>
    <w:rsid w:val="006B0096"/>
    <w:rsid w:val="006B176E"/>
    <w:rsid w:val="006C0AB1"/>
    <w:rsid w:val="006C5EB9"/>
    <w:rsid w:val="006D5C92"/>
    <w:rsid w:val="006D7A71"/>
    <w:rsid w:val="006E0C68"/>
    <w:rsid w:val="006E2CE7"/>
    <w:rsid w:val="006E4A4A"/>
    <w:rsid w:val="006F3DBB"/>
    <w:rsid w:val="006F5958"/>
    <w:rsid w:val="006F73FE"/>
    <w:rsid w:val="007023A2"/>
    <w:rsid w:val="00702BED"/>
    <w:rsid w:val="00705251"/>
    <w:rsid w:val="00706512"/>
    <w:rsid w:val="00707674"/>
    <w:rsid w:val="00707D31"/>
    <w:rsid w:val="00707FFC"/>
    <w:rsid w:val="0072068E"/>
    <w:rsid w:val="00721780"/>
    <w:rsid w:val="00727CB8"/>
    <w:rsid w:val="0073207F"/>
    <w:rsid w:val="00736501"/>
    <w:rsid w:val="00737B4E"/>
    <w:rsid w:val="00737EF3"/>
    <w:rsid w:val="00743F5B"/>
    <w:rsid w:val="0074787B"/>
    <w:rsid w:val="00751E4D"/>
    <w:rsid w:val="00757B62"/>
    <w:rsid w:val="00760877"/>
    <w:rsid w:val="0076157D"/>
    <w:rsid w:val="00762BFA"/>
    <w:rsid w:val="00763F12"/>
    <w:rsid w:val="007664E5"/>
    <w:rsid w:val="00780193"/>
    <w:rsid w:val="0078263A"/>
    <w:rsid w:val="007862DC"/>
    <w:rsid w:val="007967AD"/>
    <w:rsid w:val="00797949"/>
    <w:rsid w:val="007A0E7B"/>
    <w:rsid w:val="007A66D6"/>
    <w:rsid w:val="007B5A96"/>
    <w:rsid w:val="007B6AF3"/>
    <w:rsid w:val="007C18CD"/>
    <w:rsid w:val="007C4B03"/>
    <w:rsid w:val="007D5AC0"/>
    <w:rsid w:val="007E31A6"/>
    <w:rsid w:val="007F2E17"/>
    <w:rsid w:val="007F309B"/>
    <w:rsid w:val="00800FDC"/>
    <w:rsid w:val="00806195"/>
    <w:rsid w:val="008135DD"/>
    <w:rsid w:val="00813B38"/>
    <w:rsid w:val="00814BDB"/>
    <w:rsid w:val="00826F1D"/>
    <w:rsid w:val="00840AF6"/>
    <w:rsid w:val="00845933"/>
    <w:rsid w:val="00861782"/>
    <w:rsid w:val="0086201F"/>
    <w:rsid w:val="00862F70"/>
    <w:rsid w:val="00872C65"/>
    <w:rsid w:val="00877F55"/>
    <w:rsid w:val="008808B7"/>
    <w:rsid w:val="00882BFB"/>
    <w:rsid w:val="00885D7F"/>
    <w:rsid w:val="008935C6"/>
    <w:rsid w:val="008A0398"/>
    <w:rsid w:val="008A08ED"/>
    <w:rsid w:val="008A70A3"/>
    <w:rsid w:val="008B0CE6"/>
    <w:rsid w:val="008B2916"/>
    <w:rsid w:val="008C0CA7"/>
    <w:rsid w:val="008C0F0A"/>
    <w:rsid w:val="008C3697"/>
    <w:rsid w:val="008C5EB0"/>
    <w:rsid w:val="008C75B0"/>
    <w:rsid w:val="008D32F1"/>
    <w:rsid w:val="008E03B5"/>
    <w:rsid w:val="008F09F1"/>
    <w:rsid w:val="008F7E39"/>
    <w:rsid w:val="009017C6"/>
    <w:rsid w:val="009021F1"/>
    <w:rsid w:val="00924EF1"/>
    <w:rsid w:val="00927AA1"/>
    <w:rsid w:val="00934794"/>
    <w:rsid w:val="0094447A"/>
    <w:rsid w:val="0094533A"/>
    <w:rsid w:val="00946908"/>
    <w:rsid w:val="0095003E"/>
    <w:rsid w:val="009505C1"/>
    <w:rsid w:val="009514A0"/>
    <w:rsid w:val="00954421"/>
    <w:rsid w:val="00955798"/>
    <w:rsid w:val="00955E9C"/>
    <w:rsid w:val="0096627D"/>
    <w:rsid w:val="00966FDD"/>
    <w:rsid w:val="009670AE"/>
    <w:rsid w:val="00967ACB"/>
    <w:rsid w:val="00976B29"/>
    <w:rsid w:val="00981A79"/>
    <w:rsid w:val="00982A0D"/>
    <w:rsid w:val="009840BC"/>
    <w:rsid w:val="00993169"/>
    <w:rsid w:val="0099463D"/>
    <w:rsid w:val="0099475A"/>
    <w:rsid w:val="00995915"/>
    <w:rsid w:val="0099726D"/>
    <w:rsid w:val="009A05B5"/>
    <w:rsid w:val="009A0616"/>
    <w:rsid w:val="009A58D4"/>
    <w:rsid w:val="009B265B"/>
    <w:rsid w:val="009B7391"/>
    <w:rsid w:val="009B793A"/>
    <w:rsid w:val="009C097F"/>
    <w:rsid w:val="009C308B"/>
    <w:rsid w:val="009D5A09"/>
    <w:rsid w:val="009E01DB"/>
    <w:rsid w:val="009E1894"/>
    <w:rsid w:val="009E2010"/>
    <w:rsid w:val="009E7528"/>
    <w:rsid w:val="009E7695"/>
    <w:rsid w:val="009F5DA5"/>
    <w:rsid w:val="00A129C8"/>
    <w:rsid w:val="00A15A8D"/>
    <w:rsid w:val="00A25000"/>
    <w:rsid w:val="00A250AB"/>
    <w:rsid w:val="00A25D0F"/>
    <w:rsid w:val="00A27FBE"/>
    <w:rsid w:val="00A33AE4"/>
    <w:rsid w:val="00A33F4F"/>
    <w:rsid w:val="00A35B1C"/>
    <w:rsid w:val="00A4015E"/>
    <w:rsid w:val="00A4058B"/>
    <w:rsid w:val="00A40C09"/>
    <w:rsid w:val="00A41C49"/>
    <w:rsid w:val="00A4276E"/>
    <w:rsid w:val="00A4394D"/>
    <w:rsid w:val="00A43AF1"/>
    <w:rsid w:val="00A44A5A"/>
    <w:rsid w:val="00A45572"/>
    <w:rsid w:val="00A46375"/>
    <w:rsid w:val="00A50284"/>
    <w:rsid w:val="00A54574"/>
    <w:rsid w:val="00A54A4F"/>
    <w:rsid w:val="00A6025C"/>
    <w:rsid w:val="00A6210E"/>
    <w:rsid w:val="00A64F21"/>
    <w:rsid w:val="00A65095"/>
    <w:rsid w:val="00A66481"/>
    <w:rsid w:val="00A67261"/>
    <w:rsid w:val="00A71185"/>
    <w:rsid w:val="00A90109"/>
    <w:rsid w:val="00A976A6"/>
    <w:rsid w:val="00AA11FF"/>
    <w:rsid w:val="00AA38EC"/>
    <w:rsid w:val="00AA3AE9"/>
    <w:rsid w:val="00AA4D4E"/>
    <w:rsid w:val="00AB3376"/>
    <w:rsid w:val="00AB456C"/>
    <w:rsid w:val="00AC26DC"/>
    <w:rsid w:val="00AD256C"/>
    <w:rsid w:val="00AD275D"/>
    <w:rsid w:val="00AD58E2"/>
    <w:rsid w:val="00AD6262"/>
    <w:rsid w:val="00AE3461"/>
    <w:rsid w:val="00AE5087"/>
    <w:rsid w:val="00AF08B5"/>
    <w:rsid w:val="00AF530E"/>
    <w:rsid w:val="00AF64E8"/>
    <w:rsid w:val="00AF681B"/>
    <w:rsid w:val="00AF78F9"/>
    <w:rsid w:val="00B0008D"/>
    <w:rsid w:val="00B00D98"/>
    <w:rsid w:val="00B02592"/>
    <w:rsid w:val="00B04FF8"/>
    <w:rsid w:val="00B0711A"/>
    <w:rsid w:val="00B1109D"/>
    <w:rsid w:val="00B12C76"/>
    <w:rsid w:val="00B1464A"/>
    <w:rsid w:val="00B14E99"/>
    <w:rsid w:val="00B16CE4"/>
    <w:rsid w:val="00B173FB"/>
    <w:rsid w:val="00B17AEF"/>
    <w:rsid w:val="00B27F58"/>
    <w:rsid w:val="00B3722F"/>
    <w:rsid w:val="00B4593E"/>
    <w:rsid w:val="00B465E9"/>
    <w:rsid w:val="00B46A75"/>
    <w:rsid w:val="00B51F1C"/>
    <w:rsid w:val="00B53CD7"/>
    <w:rsid w:val="00B631A6"/>
    <w:rsid w:val="00B67C5F"/>
    <w:rsid w:val="00B70372"/>
    <w:rsid w:val="00B80F29"/>
    <w:rsid w:val="00B82B71"/>
    <w:rsid w:val="00B84DEE"/>
    <w:rsid w:val="00B938B5"/>
    <w:rsid w:val="00BA4992"/>
    <w:rsid w:val="00BB3100"/>
    <w:rsid w:val="00BB52C7"/>
    <w:rsid w:val="00BB5BB8"/>
    <w:rsid w:val="00BB5DA1"/>
    <w:rsid w:val="00BB6670"/>
    <w:rsid w:val="00BC1A3F"/>
    <w:rsid w:val="00BC1DA2"/>
    <w:rsid w:val="00BC1E2B"/>
    <w:rsid w:val="00BC4850"/>
    <w:rsid w:val="00BD2A95"/>
    <w:rsid w:val="00BE5AF5"/>
    <w:rsid w:val="00BF057D"/>
    <w:rsid w:val="00BF4DD3"/>
    <w:rsid w:val="00BF7DEB"/>
    <w:rsid w:val="00C01B55"/>
    <w:rsid w:val="00C05E8B"/>
    <w:rsid w:val="00C05FB7"/>
    <w:rsid w:val="00C1709A"/>
    <w:rsid w:val="00C21BB8"/>
    <w:rsid w:val="00C222C5"/>
    <w:rsid w:val="00C22308"/>
    <w:rsid w:val="00C24FAB"/>
    <w:rsid w:val="00C3325B"/>
    <w:rsid w:val="00C430B4"/>
    <w:rsid w:val="00C4340A"/>
    <w:rsid w:val="00C553E0"/>
    <w:rsid w:val="00C60F9A"/>
    <w:rsid w:val="00C628B5"/>
    <w:rsid w:val="00C63B00"/>
    <w:rsid w:val="00C65022"/>
    <w:rsid w:val="00C728DE"/>
    <w:rsid w:val="00C76C27"/>
    <w:rsid w:val="00C774D1"/>
    <w:rsid w:val="00C77E51"/>
    <w:rsid w:val="00C8003F"/>
    <w:rsid w:val="00C916FA"/>
    <w:rsid w:val="00C92019"/>
    <w:rsid w:val="00C9471F"/>
    <w:rsid w:val="00CA732F"/>
    <w:rsid w:val="00CB209B"/>
    <w:rsid w:val="00CB23ED"/>
    <w:rsid w:val="00CB79C1"/>
    <w:rsid w:val="00CC3E08"/>
    <w:rsid w:val="00CE05F7"/>
    <w:rsid w:val="00CE1A64"/>
    <w:rsid w:val="00CE7B9A"/>
    <w:rsid w:val="00CF2869"/>
    <w:rsid w:val="00CF7937"/>
    <w:rsid w:val="00D046E4"/>
    <w:rsid w:val="00D05760"/>
    <w:rsid w:val="00D14FC4"/>
    <w:rsid w:val="00D164EC"/>
    <w:rsid w:val="00D16B4A"/>
    <w:rsid w:val="00D212EE"/>
    <w:rsid w:val="00D2230B"/>
    <w:rsid w:val="00D31930"/>
    <w:rsid w:val="00D33049"/>
    <w:rsid w:val="00D35866"/>
    <w:rsid w:val="00D37220"/>
    <w:rsid w:val="00D43EF4"/>
    <w:rsid w:val="00D4681D"/>
    <w:rsid w:val="00D47734"/>
    <w:rsid w:val="00D520C9"/>
    <w:rsid w:val="00D60787"/>
    <w:rsid w:val="00D61549"/>
    <w:rsid w:val="00D62644"/>
    <w:rsid w:val="00D7175C"/>
    <w:rsid w:val="00D75482"/>
    <w:rsid w:val="00D77099"/>
    <w:rsid w:val="00D77919"/>
    <w:rsid w:val="00D83656"/>
    <w:rsid w:val="00D84A54"/>
    <w:rsid w:val="00D87B94"/>
    <w:rsid w:val="00D934C0"/>
    <w:rsid w:val="00D95BEC"/>
    <w:rsid w:val="00DA0840"/>
    <w:rsid w:val="00DA153A"/>
    <w:rsid w:val="00DA2A87"/>
    <w:rsid w:val="00DB34A0"/>
    <w:rsid w:val="00DC405B"/>
    <w:rsid w:val="00DC4863"/>
    <w:rsid w:val="00DC6D7A"/>
    <w:rsid w:val="00DC7720"/>
    <w:rsid w:val="00DD15C9"/>
    <w:rsid w:val="00DD2634"/>
    <w:rsid w:val="00DE4D00"/>
    <w:rsid w:val="00DF70EC"/>
    <w:rsid w:val="00E02301"/>
    <w:rsid w:val="00E05104"/>
    <w:rsid w:val="00E15B0E"/>
    <w:rsid w:val="00E209CE"/>
    <w:rsid w:val="00E217AB"/>
    <w:rsid w:val="00E21F75"/>
    <w:rsid w:val="00E229FA"/>
    <w:rsid w:val="00E22C7A"/>
    <w:rsid w:val="00E22F24"/>
    <w:rsid w:val="00E27695"/>
    <w:rsid w:val="00E34284"/>
    <w:rsid w:val="00E4162B"/>
    <w:rsid w:val="00E43303"/>
    <w:rsid w:val="00E43500"/>
    <w:rsid w:val="00E479AD"/>
    <w:rsid w:val="00E47F36"/>
    <w:rsid w:val="00E52031"/>
    <w:rsid w:val="00E57E9D"/>
    <w:rsid w:val="00E64D03"/>
    <w:rsid w:val="00E66B49"/>
    <w:rsid w:val="00E7253F"/>
    <w:rsid w:val="00E727FC"/>
    <w:rsid w:val="00E75566"/>
    <w:rsid w:val="00E76D73"/>
    <w:rsid w:val="00E82AFB"/>
    <w:rsid w:val="00E838CB"/>
    <w:rsid w:val="00E84892"/>
    <w:rsid w:val="00E8627D"/>
    <w:rsid w:val="00E86C03"/>
    <w:rsid w:val="00E91507"/>
    <w:rsid w:val="00E93C09"/>
    <w:rsid w:val="00EA1B40"/>
    <w:rsid w:val="00EB1BA4"/>
    <w:rsid w:val="00EB23EC"/>
    <w:rsid w:val="00ED67B7"/>
    <w:rsid w:val="00EE207E"/>
    <w:rsid w:val="00EE265A"/>
    <w:rsid w:val="00EE30C1"/>
    <w:rsid w:val="00EE3416"/>
    <w:rsid w:val="00EE45DB"/>
    <w:rsid w:val="00EE5E31"/>
    <w:rsid w:val="00EF086B"/>
    <w:rsid w:val="00EF6BE7"/>
    <w:rsid w:val="00F17DB6"/>
    <w:rsid w:val="00F23AFF"/>
    <w:rsid w:val="00F24446"/>
    <w:rsid w:val="00F309EE"/>
    <w:rsid w:val="00F44AAA"/>
    <w:rsid w:val="00F46EB2"/>
    <w:rsid w:val="00F52956"/>
    <w:rsid w:val="00F53677"/>
    <w:rsid w:val="00F54C26"/>
    <w:rsid w:val="00F626D4"/>
    <w:rsid w:val="00F66C3E"/>
    <w:rsid w:val="00F71038"/>
    <w:rsid w:val="00F74336"/>
    <w:rsid w:val="00F76CE7"/>
    <w:rsid w:val="00F83A72"/>
    <w:rsid w:val="00F923C7"/>
    <w:rsid w:val="00FA5373"/>
    <w:rsid w:val="00FA57DF"/>
    <w:rsid w:val="00FB03DE"/>
    <w:rsid w:val="00FB12D2"/>
    <w:rsid w:val="00FC3BE8"/>
    <w:rsid w:val="00FC61F2"/>
    <w:rsid w:val="00FC6E53"/>
    <w:rsid w:val="00FC6E78"/>
    <w:rsid w:val="00FD2B63"/>
    <w:rsid w:val="00FD646C"/>
    <w:rsid w:val="00FD7BC0"/>
    <w:rsid w:val="00FE0FE5"/>
    <w:rsid w:val="00FE6F11"/>
    <w:rsid w:val="00FE79FA"/>
    <w:rsid w:val="00FF6499"/>
    <w:rsid w:val="00FF656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62"/>
  </w:style>
  <w:style w:type="paragraph" w:styleId="Heading1">
    <w:name w:val="heading 1"/>
    <w:basedOn w:val="Normal"/>
    <w:next w:val="Normal"/>
    <w:link w:val="Heading1Char"/>
    <w:uiPriority w:val="9"/>
    <w:qFormat/>
    <w:rsid w:val="004137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37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T-Bullet">
    <w:name w:val="ICAT-Bullet"/>
    <w:basedOn w:val="ListParagraph"/>
    <w:link w:val="ICAT-BulletChar"/>
    <w:qFormat/>
    <w:rsid w:val="004137FC"/>
    <w:pPr>
      <w:numPr>
        <w:numId w:val="1"/>
      </w:numPr>
      <w:autoSpaceDE w:val="0"/>
      <w:autoSpaceDN w:val="0"/>
      <w:adjustRightInd w:val="0"/>
      <w:spacing w:before="120" w:after="120" w:line="240" w:lineRule="auto"/>
    </w:pPr>
    <w:rPr>
      <w:rFonts w:ascii="Calibri" w:hAnsi="Calibri" w:cs="Calibri"/>
      <w:color w:val="000000"/>
    </w:rPr>
  </w:style>
  <w:style w:type="paragraph" w:styleId="ListParagraph">
    <w:name w:val="List Paragraph"/>
    <w:basedOn w:val="Normal"/>
    <w:uiPriority w:val="99"/>
    <w:qFormat/>
    <w:rsid w:val="004137FC"/>
    <w:pPr>
      <w:ind w:left="720"/>
      <w:contextualSpacing/>
    </w:pPr>
  </w:style>
  <w:style w:type="character" w:customStyle="1" w:styleId="ICAT-BulletChar">
    <w:name w:val="ICAT-Bullet Char"/>
    <w:basedOn w:val="DefaultParagraphFont"/>
    <w:link w:val="ICAT-Bullet"/>
    <w:rsid w:val="004137FC"/>
    <w:rPr>
      <w:rFonts w:ascii="Calibri" w:hAnsi="Calibri" w:cs="Calibri"/>
      <w:color w:val="000000"/>
    </w:rPr>
  </w:style>
  <w:style w:type="paragraph" w:customStyle="1" w:styleId="ICAT-Header1">
    <w:name w:val="ICAT-Header 1"/>
    <w:basedOn w:val="Heading1"/>
    <w:next w:val="ICAT-Bullet"/>
    <w:link w:val="ICAT-Header1Char"/>
    <w:qFormat/>
    <w:rsid w:val="004137FC"/>
    <w:pPr>
      <w:spacing w:before="240" w:after="240" w:line="240" w:lineRule="auto"/>
    </w:pPr>
    <w:rPr>
      <w:color w:val="auto"/>
    </w:rPr>
  </w:style>
  <w:style w:type="character" w:customStyle="1" w:styleId="Heading1Char">
    <w:name w:val="Heading 1 Char"/>
    <w:basedOn w:val="DefaultParagraphFont"/>
    <w:link w:val="Heading1"/>
    <w:uiPriority w:val="9"/>
    <w:rsid w:val="004137FC"/>
    <w:rPr>
      <w:rFonts w:asciiTheme="majorHAnsi" w:eastAsiaTheme="majorEastAsia" w:hAnsiTheme="majorHAnsi" w:cstheme="majorBidi"/>
      <w:b/>
      <w:bCs/>
      <w:color w:val="365F91" w:themeColor="accent1" w:themeShade="BF"/>
      <w:sz w:val="28"/>
      <w:szCs w:val="28"/>
    </w:rPr>
  </w:style>
  <w:style w:type="character" w:customStyle="1" w:styleId="ICAT-Header1Char">
    <w:name w:val="ICAT-Header 1 Char"/>
    <w:basedOn w:val="Heading1Char"/>
    <w:link w:val="ICAT-Header1"/>
    <w:rsid w:val="004137FC"/>
  </w:style>
  <w:style w:type="paragraph" w:customStyle="1" w:styleId="ICAT-Header2">
    <w:name w:val="ICAT-Header 2"/>
    <w:basedOn w:val="Heading2"/>
    <w:link w:val="ICAT-Header2Char"/>
    <w:qFormat/>
    <w:rsid w:val="004137FC"/>
    <w:pPr>
      <w:autoSpaceDE w:val="0"/>
      <w:autoSpaceDN w:val="0"/>
      <w:adjustRightInd w:val="0"/>
      <w:spacing w:before="120" w:after="120" w:line="240" w:lineRule="auto"/>
    </w:pPr>
    <w:rPr>
      <w:rFonts w:asciiTheme="minorHAnsi" w:hAnsiTheme="minorHAnsi"/>
      <w:color w:val="auto"/>
      <w:sz w:val="22"/>
    </w:rPr>
  </w:style>
  <w:style w:type="character" w:customStyle="1" w:styleId="Heading2Char">
    <w:name w:val="Heading 2 Char"/>
    <w:basedOn w:val="DefaultParagraphFont"/>
    <w:link w:val="Heading2"/>
    <w:uiPriority w:val="9"/>
    <w:semiHidden/>
    <w:rsid w:val="004137FC"/>
    <w:rPr>
      <w:rFonts w:asciiTheme="majorHAnsi" w:eastAsiaTheme="majorEastAsia" w:hAnsiTheme="majorHAnsi" w:cstheme="majorBidi"/>
      <w:b/>
      <w:bCs/>
      <w:color w:val="4F81BD" w:themeColor="accent1"/>
      <w:sz w:val="26"/>
      <w:szCs w:val="26"/>
    </w:rPr>
  </w:style>
  <w:style w:type="character" w:customStyle="1" w:styleId="ICAT-Header2Char">
    <w:name w:val="ICAT-Header 2 Char"/>
    <w:basedOn w:val="Heading2Char"/>
    <w:link w:val="ICAT-Header2"/>
    <w:rsid w:val="004137FC"/>
  </w:style>
  <w:style w:type="table" w:styleId="TableGrid">
    <w:name w:val="Table Grid"/>
    <w:basedOn w:val="TableNormal"/>
    <w:uiPriority w:val="59"/>
    <w:rsid w:val="0067176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sxx</dc:creator>
  <cp:keywords/>
  <dc:description/>
  <cp:lastModifiedBy>SHO</cp:lastModifiedBy>
  <cp:revision>11</cp:revision>
  <dcterms:created xsi:type="dcterms:W3CDTF">2012-12-13T16:10:00Z</dcterms:created>
  <dcterms:modified xsi:type="dcterms:W3CDTF">2012-12-14T18:05:00Z</dcterms:modified>
</cp:coreProperties>
</file>