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D3" w:rsidRDefault="00F739D3">
      <w:pPr>
        <w:rPr>
          <w:rFonts w:asciiTheme="minorHAnsi" w:hAnsiTheme="minorHAnsi" w:cstheme="minorHAnsi"/>
          <w:b/>
          <w:sz w:val="28"/>
        </w:rPr>
      </w:pPr>
      <w:r>
        <w:rPr>
          <w:rFonts w:asciiTheme="minorHAnsi" w:hAnsiTheme="minorHAnsi" w:cstheme="minorHAnsi"/>
          <w:b/>
          <w:sz w:val="28"/>
        </w:rPr>
        <w:t xml:space="preserve">Annex 4: Illustration on </w:t>
      </w:r>
      <w:proofErr w:type="spellStart"/>
      <w:r>
        <w:rPr>
          <w:rFonts w:asciiTheme="minorHAnsi" w:hAnsiTheme="minorHAnsi" w:cstheme="minorHAnsi"/>
          <w:b/>
          <w:sz w:val="28"/>
        </w:rPr>
        <w:t>iCAT</w:t>
      </w:r>
      <w:proofErr w:type="spellEnd"/>
      <w:r>
        <w:rPr>
          <w:rFonts w:asciiTheme="minorHAnsi" w:hAnsiTheme="minorHAnsi" w:cstheme="minorHAnsi"/>
          <w:b/>
          <w:sz w:val="28"/>
        </w:rPr>
        <w:t xml:space="preserve"> assessment</w:t>
      </w:r>
    </w:p>
    <w:p w:rsidR="008E4A10" w:rsidRPr="00F739D3" w:rsidRDefault="00D43D5C">
      <w:pPr>
        <w:rPr>
          <w:rFonts w:asciiTheme="minorHAnsi" w:hAnsiTheme="minorHAnsi" w:cstheme="minorHAnsi"/>
          <w:b/>
          <w:sz w:val="24"/>
          <w:szCs w:val="24"/>
        </w:rPr>
      </w:pPr>
      <w:r w:rsidRPr="00F739D3">
        <w:rPr>
          <w:rFonts w:asciiTheme="minorHAnsi" w:hAnsiTheme="minorHAnsi" w:cstheme="minorHAnsi"/>
          <w:b/>
          <w:sz w:val="24"/>
          <w:szCs w:val="24"/>
        </w:rPr>
        <w:t xml:space="preserve">Model Level 4 </w:t>
      </w:r>
      <w:proofErr w:type="spellStart"/>
      <w:r w:rsidRPr="00F739D3">
        <w:rPr>
          <w:rFonts w:asciiTheme="minorHAnsi" w:hAnsiTheme="minorHAnsi" w:cstheme="minorHAnsi"/>
          <w:b/>
          <w:sz w:val="24"/>
          <w:szCs w:val="24"/>
        </w:rPr>
        <w:t>iCAT</w:t>
      </w:r>
      <w:proofErr w:type="spellEnd"/>
      <w:r w:rsidRPr="00F739D3">
        <w:rPr>
          <w:rFonts w:asciiTheme="minorHAnsi" w:hAnsiTheme="minorHAnsi" w:cstheme="minorHAnsi"/>
          <w:b/>
          <w:sz w:val="24"/>
          <w:szCs w:val="24"/>
        </w:rPr>
        <w:t xml:space="preserve"> assessment</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06"/>
        <w:gridCol w:w="1530"/>
        <w:gridCol w:w="2520"/>
        <w:gridCol w:w="2250"/>
      </w:tblGrid>
      <w:tr w:rsidR="008E4A10" w:rsidRPr="00C23B7A" w:rsidTr="00F739D3">
        <w:tc>
          <w:tcPr>
            <w:tcW w:w="1384" w:type="dxa"/>
          </w:tcPr>
          <w:p w:rsidR="008E4A10" w:rsidRPr="00C23B7A" w:rsidRDefault="008E4A10" w:rsidP="009C7C55">
            <w:pPr>
              <w:spacing w:line="240" w:lineRule="auto"/>
              <w:rPr>
                <w:rFonts w:asciiTheme="minorHAnsi" w:hAnsiTheme="minorHAnsi" w:cstheme="minorHAnsi"/>
                <w:b/>
                <w:color w:val="000080"/>
                <w:sz w:val="24"/>
                <w:szCs w:val="24"/>
              </w:rPr>
            </w:pPr>
            <w:r w:rsidRPr="00C23B7A">
              <w:rPr>
                <w:rFonts w:asciiTheme="minorHAnsi" w:hAnsiTheme="minorHAnsi" w:cstheme="minorHAnsi"/>
                <w:b/>
                <w:color w:val="000080"/>
                <w:sz w:val="24"/>
                <w:szCs w:val="24"/>
              </w:rPr>
              <w:t>Reference</w:t>
            </w:r>
          </w:p>
        </w:tc>
        <w:tc>
          <w:tcPr>
            <w:tcW w:w="1406" w:type="dxa"/>
          </w:tcPr>
          <w:p w:rsidR="008E4A10" w:rsidRPr="00C23B7A" w:rsidRDefault="008E4A10" w:rsidP="009C7C55">
            <w:pPr>
              <w:spacing w:line="240" w:lineRule="auto"/>
              <w:rPr>
                <w:rFonts w:asciiTheme="minorHAnsi" w:hAnsiTheme="minorHAnsi" w:cstheme="minorHAnsi"/>
                <w:b/>
                <w:color w:val="000080"/>
                <w:sz w:val="24"/>
                <w:szCs w:val="24"/>
              </w:rPr>
            </w:pPr>
            <w:r w:rsidRPr="00C23B7A">
              <w:rPr>
                <w:rFonts w:asciiTheme="minorHAnsi" w:hAnsiTheme="minorHAnsi" w:cstheme="minorHAnsi"/>
                <w:b/>
                <w:color w:val="000080"/>
                <w:sz w:val="24"/>
                <w:szCs w:val="24"/>
              </w:rPr>
              <w:t>Requirement</w:t>
            </w:r>
          </w:p>
        </w:tc>
        <w:tc>
          <w:tcPr>
            <w:tcW w:w="1530" w:type="dxa"/>
          </w:tcPr>
          <w:p w:rsidR="008E4A10" w:rsidRPr="00C23B7A" w:rsidRDefault="008E4A10" w:rsidP="009C7C55">
            <w:pPr>
              <w:spacing w:line="240" w:lineRule="auto"/>
              <w:rPr>
                <w:rFonts w:asciiTheme="minorHAnsi" w:hAnsiTheme="minorHAnsi" w:cstheme="minorHAnsi"/>
                <w:b/>
                <w:color w:val="000080"/>
                <w:sz w:val="24"/>
                <w:szCs w:val="24"/>
              </w:rPr>
            </w:pPr>
            <w:r w:rsidRPr="00C23B7A">
              <w:rPr>
                <w:rFonts w:asciiTheme="minorHAnsi" w:hAnsiTheme="minorHAnsi" w:cstheme="minorHAnsi"/>
                <w:b/>
                <w:color w:val="000080"/>
                <w:sz w:val="24"/>
                <w:szCs w:val="24"/>
              </w:rPr>
              <w:t>Compliance status</w:t>
            </w:r>
          </w:p>
        </w:tc>
        <w:tc>
          <w:tcPr>
            <w:tcW w:w="2520" w:type="dxa"/>
          </w:tcPr>
          <w:p w:rsidR="008E4A10" w:rsidRPr="00C23B7A" w:rsidRDefault="008E4A10" w:rsidP="009C7C55">
            <w:pPr>
              <w:spacing w:line="240" w:lineRule="auto"/>
              <w:rPr>
                <w:rFonts w:asciiTheme="minorHAnsi" w:hAnsiTheme="minorHAnsi" w:cstheme="minorHAnsi"/>
                <w:b/>
                <w:color w:val="000080"/>
                <w:sz w:val="24"/>
                <w:szCs w:val="24"/>
              </w:rPr>
            </w:pPr>
            <w:r w:rsidRPr="00C23B7A">
              <w:rPr>
                <w:rFonts w:asciiTheme="minorHAnsi" w:hAnsiTheme="minorHAnsi" w:cstheme="minorHAnsi"/>
                <w:b/>
                <w:color w:val="000080"/>
                <w:sz w:val="24"/>
                <w:szCs w:val="24"/>
              </w:rPr>
              <w:t>System/mechanisms /instrument of compliance</w:t>
            </w:r>
          </w:p>
        </w:tc>
        <w:tc>
          <w:tcPr>
            <w:tcW w:w="2250" w:type="dxa"/>
          </w:tcPr>
          <w:p w:rsidR="008E4A10" w:rsidRPr="00C23B7A" w:rsidRDefault="008E4A10" w:rsidP="009C7C55">
            <w:pPr>
              <w:spacing w:line="240" w:lineRule="auto"/>
              <w:rPr>
                <w:rFonts w:asciiTheme="minorHAnsi" w:hAnsiTheme="minorHAnsi" w:cstheme="minorHAnsi"/>
                <w:b/>
                <w:color w:val="000080"/>
                <w:sz w:val="24"/>
                <w:szCs w:val="24"/>
              </w:rPr>
            </w:pPr>
            <w:r w:rsidRPr="00C23B7A">
              <w:rPr>
                <w:rFonts w:asciiTheme="minorHAnsi" w:hAnsiTheme="minorHAnsi" w:cstheme="minorHAnsi"/>
                <w:b/>
                <w:color w:val="000080"/>
                <w:sz w:val="24"/>
                <w:szCs w:val="24"/>
              </w:rPr>
              <w:t>Reasons for non-compliance</w:t>
            </w:r>
          </w:p>
        </w:tc>
      </w:tr>
      <w:tr w:rsidR="008E4A10" w:rsidRPr="00C23B7A" w:rsidTr="00F739D3">
        <w:tc>
          <w:tcPr>
            <w:tcW w:w="1384" w:type="dxa"/>
          </w:tcPr>
          <w:p w:rsidR="008E4A10" w:rsidRPr="00C23B7A" w:rsidRDefault="008E4A10" w:rsidP="009C7C55">
            <w:pPr>
              <w:spacing w:after="0" w:line="240" w:lineRule="auto"/>
              <w:rPr>
                <w:rFonts w:asciiTheme="minorHAnsi" w:hAnsiTheme="minorHAnsi" w:cstheme="minorHAnsi"/>
                <w:color w:val="000080"/>
                <w:sz w:val="24"/>
                <w:szCs w:val="24"/>
              </w:rPr>
            </w:pPr>
            <w:r w:rsidRPr="00C23B7A">
              <w:rPr>
                <w:rFonts w:asciiTheme="minorHAnsi" w:hAnsiTheme="minorHAnsi" w:cstheme="minorHAnsi"/>
                <w:color w:val="000080"/>
                <w:sz w:val="24"/>
                <w:szCs w:val="24"/>
              </w:rPr>
              <w:t>( ISSAI 3100, sec 22  ISSAI 3000, appendix 3, 5)</w:t>
            </w:r>
          </w:p>
        </w:tc>
        <w:tc>
          <w:tcPr>
            <w:tcW w:w="1406" w:type="dxa"/>
          </w:tcPr>
          <w:p w:rsidR="008E4A10" w:rsidRPr="00C23B7A" w:rsidRDefault="008E4A10" w:rsidP="009C7C55">
            <w:pPr>
              <w:autoSpaceDE w:val="0"/>
              <w:autoSpaceDN w:val="0"/>
              <w:adjustRightInd w:val="0"/>
              <w:spacing w:after="0" w:line="240" w:lineRule="auto"/>
              <w:rPr>
                <w:rFonts w:asciiTheme="minorHAnsi" w:hAnsiTheme="minorHAnsi" w:cstheme="minorHAnsi"/>
                <w:color w:val="000080"/>
                <w:sz w:val="24"/>
                <w:szCs w:val="24"/>
              </w:rPr>
            </w:pPr>
            <w:r w:rsidRPr="00C23B7A">
              <w:rPr>
                <w:rFonts w:asciiTheme="minorHAnsi" w:hAnsiTheme="minorHAnsi" w:cstheme="minorHAnsi"/>
                <w:color w:val="000080"/>
                <w:sz w:val="24"/>
                <w:szCs w:val="24"/>
              </w:rPr>
              <w:t>The audit report informs the reader of the source and quality of the data, particularly when it contains estimations</w:t>
            </w:r>
          </w:p>
        </w:tc>
        <w:tc>
          <w:tcPr>
            <w:tcW w:w="1530" w:type="dxa"/>
          </w:tcPr>
          <w:p w:rsidR="008E4A10" w:rsidRPr="00C23B7A" w:rsidRDefault="008E4A10" w:rsidP="00D43D5C">
            <w:pPr>
              <w:spacing w:after="0" w:line="240" w:lineRule="auto"/>
              <w:rPr>
                <w:rFonts w:asciiTheme="minorHAnsi" w:hAnsiTheme="minorHAnsi" w:cstheme="minorHAnsi"/>
                <w:b/>
                <w:color w:val="000080"/>
              </w:rPr>
            </w:pPr>
            <w:r w:rsidRPr="00C23B7A">
              <w:rPr>
                <w:rFonts w:asciiTheme="minorHAnsi" w:hAnsiTheme="minorHAnsi" w:cstheme="minorHAnsi"/>
                <w:b/>
                <w:color w:val="000080"/>
              </w:rPr>
              <w:t>Met</w:t>
            </w:r>
            <w:r w:rsidR="00D43D5C" w:rsidRPr="00C23B7A">
              <w:rPr>
                <w:rFonts w:asciiTheme="minorHAnsi" w:hAnsiTheme="minorHAnsi" w:cstheme="minorHAnsi"/>
                <w:b/>
                <w:color w:val="000080"/>
              </w:rPr>
              <w:t xml:space="preserve"> to some </w:t>
            </w:r>
            <w:r w:rsidRPr="00C23B7A">
              <w:rPr>
                <w:rFonts w:asciiTheme="minorHAnsi" w:hAnsiTheme="minorHAnsi" w:cstheme="minorHAnsi"/>
                <w:b/>
                <w:color w:val="000080"/>
              </w:rPr>
              <w:t>extent</w:t>
            </w:r>
          </w:p>
          <w:p w:rsidR="008E4A10" w:rsidRPr="00C23B7A" w:rsidRDefault="008E4A10" w:rsidP="009C7C55">
            <w:pPr>
              <w:spacing w:after="0" w:line="240" w:lineRule="auto"/>
              <w:jc w:val="center"/>
              <w:rPr>
                <w:rFonts w:asciiTheme="minorHAnsi" w:hAnsiTheme="minorHAnsi" w:cstheme="minorHAnsi"/>
                <w:color w:val="000080"/>
              </w:rPr>
            </w:pPr>
          </w:p>
        </w:tc>
        <w:tc>
          <w:tcPr>
            <w:tcW w:w="2520" w:type="dxa"/>
          </w:tcPr>
          <w:p w:rsidR="008E4A10" w:rsidRPr="00C23B7A" w:rsidRDefault="008E4A10" w:rsidP="008E4A10">
            <w:pPr>
              <w:spacing w:after="0" w:line="240" w:lineRule="auto"/>
              <w:rPr>
                <w:rFonts w:asciiTheme="minorHAnsi" w:hAnsiTheme="minorHAnsi" w:cstheme="minorHAnsi"/>
                <w:color w:val="000080"/>
              </w:rPr>
            </w:pPr>
            <w:r w:rsidRPr="00C23B7A">
              <w:rPr>
                <w:rFonts w:asciiTheme="minorHAnsi" w:hAnsiTheme="minorHAnsi" w:cstheme="minorHAnsi"/>
                <w:color w:val="000080"/>
              </w:rPr>
              <w:t>Sources of the data provided were clearly stated</w:t>
            </w:r>
            <w:r w:rsidR="00D43D5C" w:rsidRPr="00C23B7A">
              <w:rPr>
                <w:rFonts w:asciiTheme="minorHAnsi" w:hAnsiTheme="minorHAnsi" w:cstheme="minorHAnsi"/>
                <w:color w:val="000080"/>
              </w:rPr>
              <w:t xml:space="preserve"> in the reviewed PA reports</w:t>
            </w:r>
            <w:r w:rsidRPr="00C23B7A">
              <w:rPr>
                <w:rFonts w:asciiTheme="minorHAnsi" w:hAnsiTheme="minorHAnsi" w:cstheme="minorHAnsi"/>
                <w:color w:val="000080"/>
              </w:rPr>
              <w:t>.</w:t>
            </w:r>
          </w:p>
          <w:p w:rsidR="008E4A10" w:rsidRPr="00C23B7A" w:rsidRDefault="008E4A10" w:rsidP="008E4A10">
            <w:pPr>
              <w:spacing w:after="0" w:line="240" w:lineRule="auto"/>
              <w:rPr>
                <w:rFonts w:asciiTheme="minorHAnsi" w:hAnsiTheme="minorHAnsi" w:cstheme="minorHAnsi"/>
                <w:color w:val="000080"/>
                <w:sz w:val="24"/>
                <w:szCs w:val="24"/>
              </w:rPr>
            </w:pPr>
            <w:r w:rsidRPr="00C23B7A">
              <w:rPr>
                <w:rFonts w:asciiTheme="minorHAnsi" w:hAnsiTheme="minorHAnsi" w:cstheme="minorHAnsi"/>
                <w:color w:val="000080"/>
              </w:rPr>
              <w:t>Also in one instance the quality of the data was commented upon, i.e. when the information of the Forest Department and the District Commissioner’s office did not match, it was discussed in the report.)</w:t>
            </w:r>
          </w:p>
          <w:p w:rsidR="008E4A10" w:rsidRPr="00C23B7A" w:rsidRDefault="008E4A10" w:rsidP="009C7C55">
            <w:pPr>
              <w:spacing w:after="0" w:line="240" w:lineRule="auto"/>
              <w:rPr>
                <w:rFonts w:asciiTheme="minorHAnsi" w:hAnsiTheme="minorHAnsi" w:cstheme="minorHAnsi"/>
                <w:color w:val="000080"/>
                <w:sz w:val="24"/>
                <w:szCs w:val="24"/>
              </w:rPr>
            </w:pPr>
          </w:p>
        </w:tc>
        <w:tc>
          <w:tcPr>
            <w:tcW w:w="2250" w:type="dxa"/>
          </w:tcPr>
          <w:p w:rsidR="008E4A10" w:rsidRPr="00C23B7A" w:rsidRDefault="00D43D5C" w:rsidP="00D43D5C">
            <w:pPr>
              <w:spacing w:after="0" w:line="240" w:lineRule="auto"/>
              <w:rPr>
                <w:rFonts w:asciiTheme="minorHAnsi" w:hAnsiTheme="minorHAnsi" w:cstheme="minorHAnsi"/>
                <w:color w:val="000080"/>
                <w:sz w:val="24"/>
                <w:szCs w:val="24"/>
              </w:rPr>
            </w:pPr>
            <w:r w:rsidRPr="00C23B7A">
              <w:rPr>
                <w:rFonts w:asciiTheme="minorHAnsi" w:hAnsiTheme="minorHAnsi" w:cstheme="minorHAnsi"/>
                <w:color w:val="000080"/>
                <w:sz w:val="24"/>
                <w:szCs w:val="24"/>
              </w:rPr>
              <w:t>There is no specific direction in the national audit standard/policy/ PA guidelines to state the sources and quality of data in the audit report.</w:t>
            </w:r>
          </w:p>
        </w:tc>
      </w:tr>
    </w:tbl>
    <w:p w:rsidR="008E4A10" w:rsidRPr="00C23B7A" w:rsidRDefault="008E4A10">
      <w:pPr>
        <w:rPr>
          <w:rFonts w:asciiTheme="minorHAnsi" w:hAnsiTheme="minorHAnsi" w:cstheme="minorHAnsi"/>
        </w:rPr>
      </w:pPr>
    </w:p>
    <w:p w:rsidR="007466A0" w:rsidRPr="00F739D3" w:rsidRDefault="007466A0">
      <w:pPr>
        <w:rPr>
          <w:rFonts w:asciiTheme="minorHAnsi" w:hAnsiTheme="minorHAnsi" w:cstheme="minorHAnsi"/>
          <w:b/>
          <w:sz w:val="24"/>
          <w:szCs w:val="24"/>
        </w:rPr>
      </w:pPr>
      <w:r w:rsidRPr="00F739D3">
        <w:rPr>
          <w:rFonts w:asciiTheme="minorHAnsi" w:hAnsiTheme="minorHAnsi" w:cstheme="minorHAnsi"/>
          <w:b/>
          <w:sz w:val="24"/>
          <w:szCs w:val="24"/>
        </w:rPr>
        <w:t xml:space="preserve">Model Level 2 </w:t>
      </w:r>
      <w:proofErr w:type="spellStart"/>
      <w:r w:rsidRPr="00F739D3">
        <w:rPr>
          <w:rFonts w:asciiTheme="minorHAnsi" w:hAnsiTheme="minorHAnsi" w:cstheme="minorHAnsi"/>
          <w:b/>
          <w:sz w:val="24"/>
          <w:szCs w:val="24"/>
        </w:rPr>
        <w:t>iCAT</w:t>
      </w:r>
      <w:proofErr w:type="spellEnd"/>
      <w:r w:rsidRPr="00F739D3">
        <w:rPr>
          <w:rFonts w:asciiTheme="minorHAnsi" w:hAnsiTheme="minorHAnsi" w:cstheme="minorHAnsi"/>
          <w:b/>
          <w:sz w:val="24"/>
          <w:szCs w:val="24"/>
        </w:rPr>
        <w:t xml:space="preserve"> assessment</w:t>
      </w:r>
    </w:p>
    <w:tbl>
      <w:tblPr>
        <w:tblW w:w="104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2606"/>
        <w:gridCol w:w="1985"/>
        <w:gridCol w:w="1165"/>
        <w:gridCol w:w="1702"/>
        <w:gridCol w:w="1702"/>
      </w:tblGrid>
      <w:tr w:rsidR="007466A0" w:rsidRPr="00C23B7A" w:rsidTr="007466A0">
        <w:tc>
          <w:tcPr>
            <w:tcW w:w="1278" w:type="dxa"/>
            <w:tcBorders>
              <w:top w:val="single" w:sz="4" w:space="0" w:color="auto"/>
              <w:left w:val="single" w:sz="4" w:space="0" w:color="auto"/>
              <w:bottom w:val="single" w:sz="4" w:space="0" w:color="auto"/>
              <w:right w:val="single" w:sz="4" w:space="0" w:color="auto"/>
            </w:tcBorders>
          </w:tcPr>
          <w:p w:rsidR="00A63AC7" w:rsidRPr="00C23B7A" w:rsidRDefault="00A63AC7" w:rsidP="00A63AC7">
            <w:pPr>
              <w:spacing w:after="0"/>
              <w:rPr>
                <w:rFonts w:asciiTheme="minorHAnsi" w:hAnsiTheme="minorHAnsi" w:cstheme="minorHAnsi"/>
                <w:b/>
                <w:color w:val="000080"/>
              </w:rPr>
            </w:pPr>
            <w:r w:rsidRPr="00C23B7A">
              <w:rPr>
                <w:rFonts w:asciiTheme="minorHAnsi" w:hAnsiTheme="minorHAnsi" w:cstheme="minorHAnsi"/>
                <w:b/>
                <w:color w:val="000080"/>
              </w:rPr>
              <w:t>ISSAI</w:t>
            </w:r>
          </w:p>
          <w:p w:rsidR="007466A0" w:rsidRPr="00C23B7A" w:rsidRDefault="00A63AC7" w:rsidP="00A63AC7">
            <w:pPr>
              <w:spacing w:after="0"/>
              <w:rPr>
                <w:rFonts w:asciiTheme="minorHAnsi" w:hAnsiTheme="minorHAnsi" w:cstheme="minorHAnsi"/>
                <w:color w:val="000080"/>
              </w:rPr>
            </w:pPr>
            <w:r w:rsidRPr="00C23B7A">
              <w:rPr>
                <w:rFonts w:asciiTheme="minorHAnsi" w:hAnsiTheme="minorHAnsi" w:cstheme="minorHAnsi"/>
                <w:b/>
                <w:color w:val="000080"/>
              </w:rPr>
              <w:t>Reference</w:t>
            </w:r>
          </w:p>
        </w:tc>
        <w:tc>
          <w:tcPr>
            <w:tcW w:w="2606" w:type="dxa"/>
            <w:tcBorders>
              <w:top w:val="single" w:sz="4" w:space="0" w:color="auto"/>
              <w:left w:val="single" w:sz="4" w:space="0" w:color="auto"/>
              <w:bottom w:val="single" w:sz="4" w:space="0" w:color="auto"/>
              <w:right w:val="single" w:sz="4" w:space="0" w:color="auto"/>
            </w:tcBorders>
            <w:hideMark/>
          </w:tcPr>
          <w:p w:rsidR="00A63AC7" w:rsidRPr="00C23B7A" w:rsidRDefault="00A63AC7" w:rsidP="00A63AC7">
            <w:pPr>
              <w:spacing w:after="0"/>
              <w:rPr>
                <w:rFonts w:asciiTheme="minorHAnsi" w:hAnsiTheme="minorHAnsi" w:cstheme="minorHAnsi"/>
                <w:b/>
                <w:color w:val="000080"/>
              </w:rPr>
            </w:pPr>
            <w:r w:rsidRPr="00C23B7A">
              <w:rPr>
                <w:rFonts w:asciiTheme="minorHAnsi" w:hAnsiTheme="minorHAnsi" w:cstheme="minorHAnsi"/>
                <w:b/>
                <w:color w:val="000080"/>
              </w:rPr>
              <w:t>ISSAI</w:t>
            </w:r>
          </w:p>
          <w:p w:rsidR="007466A0" w:rsidRPr="00C23B7A" w:rsidRDefault="00A63AC7" w:rsidP="00A63AC7">
            <w:pPr>
              <w:spacing w:after="0"/>
              <w:rPr>
                <w:rFonts w:asciiTheme="minorHAnsi" w:hAnsiTheme="minorHAnsi" w:cstheme="minorHAnsi"/>
                <w:color w:val="000080"/>
              </w:rPr>
            </w:pPr>
            <w:r w:rsidRPr="00C23B7A">
              <w:rPr>
                <w:rFonts w:asciiTheme="minorHAnsi" w:hAnsiTheme="minorHAnsi" w:cstheme="minorHAnsi"/>
                <w:b/>
                <w:color w:val="000080"/>
              </w:rPr>
              <w:t>Requirement</w:t>
            </w:r>
          </w:p>
        </w:tc>
        <w:tc>
          <w:tcPr>
            <w:tcW w:w="1985" w:type="dxa"/>
            <w:tcBorders>
              <w:top w:val="single" w:sz="4" w:space="0" w:color="auto"/>
              <w:left w:val="single" w:sz="4" w:space="0" w:color="auto"/>
              <w:bottom w:val="single" w:sz="4" w:space="0" w:color="auto"/>
              <w:right w:val="single" w:sz="4" w:space="0" w:color="auto"/>
            </w:tcBorders>
            <w:hideMark/>
          </w:tcPr>
          <w:p w:rsidR="007466A0" w:rsidRPr="00C23B7A" w:rsidRDefault="005E2104">
            <w:pPr>
              <w:spacing w:after="0"/>
              <w:rPr>
                <w:rFonts w:asciiTheme="minorHAnsi" w:hAnsiTheme="minorHAnsi" w:cstheme="minorHAnsi"/>
                <w:color w:val="000080"/>
              </w:rPr>
            </w:pPr>
            <w:r w:rsidRPr="00C23B7A">
              <w:rPr>
                <w:rFonts w:asciiTheme="minorHAnsi" w:hAnsiTheme="minorHAnsi" w:cstheme="minorHAnsi"/>
                <w:b/>
                <w:color w:val="000080"/>
              </w:rPr>
              <w:t>Mechanisms/instrument of compliance</w:t>
            </w:r>
          </w:p>
        </w:tc>
        <w:tc>
          <w:tcPr>
            <w:tcW w:w="1165" w:type="dxa"/>
            <w:tcBorders>
              <w:top w:val="single" w:sz="4" w:space="0" w:color="auto"/>
              <w:left w:val="single" w:sz="4" w:space="0" w:color="auto"/>
              <w:bottom w:val="single" w:sz="4" w:space="0" w:color="auto"/>
              <w:right w:val="single" w:sz="4" w:space="0" w:color="auto"/>
            </w:tcBorders>
            <w:hideMark/>
          </w:tcPr>
          <w:p w:rsidR="007466A0" w:rsidRPr="00C23B7A" w:rsidRDefault="005E2104">
            <w:pPr>
              <w:spacing w:after="0"/>
              <w:rPr>
                <w:rFonts w:asciiTheme="minorHAnsi" w:hAnsiTheme="minorHAnsi" w:cstheme="minorHAnsi"/>
                <w:color w:val="000080"/>
              </w:rPr>
            </w:pPr>
            <w:r w:rsidRPr="00C23B7A">
              <w:rPr>
                <w:rFonts w:asciiTheme="minorHAnsi" w:hAnsiTheme="minorHAnsi" w:cstheme="minorHAnsi"/>
                <w:b/>
                <w:color w:val="000080"/>
              </w:rPr>
              <w:t>SAI status</w:t>
            </w:r>
          </w:p>
        </w:tc>
        <w:tc>
          <w:tcPr>
            <w:tcW w:w="1702" w:type="dxa"/>
            <w:tcBorders>
              <w:top w:val="single" w:sz="4" w:space="0" w:color="auto"/>
              <w:left w:val="single" w:sz="4" w:space="0" w:color="auto"/>
              <w:bottom w:val="single" w:sz="4" w:space="0" w:color="auto"/>
              <w:right w:val="single" w:sz="4" w:space="0" w:color="auto"/>
            </w:tcBorders>
            <w:hideMark/>
          </w:tcPr>
          <w:p w:rsidR="007466A0" w:rsidRPr="00C23B7A" w:rsidRDefault="005E2104">
            <w:pPr>
              <w:spacing w:after="0"/>
              <w:rPr>
                <w:rFonts w:asciiTheme="minorHAnsi" w:hAnsiTheme="minorHAnsi" w:cstheme="minorHAnsi"/>
                <w:color w:val="000080"/>
              </w:rPr>
            </w:pPr>
            <w:r w:rsidRPr="00C23B7A">
              <w:rPr>
                <w:rFonts w:asciiTheme="minorHAnsi" w:hAnsiTheme="minorHAnsi" w:cstheme="minorHAnsi"/>
                <w:b/>
                <w:color w:val="000080"/>
              </w:rPr>
              <w:t>Level 4 Examples</w:t>
            </w:r>
          </w:p>
        </w:tc>
        <w:tc>
          <w:tcPr>
            <w:tcW w:w="1702" w:type="dxa"/>
            <w:tcBorders>
              <w:top w:val="single" w:sz="4" w:space="0" w:color="auto"/>
              <w:left w:val="single" w:sz="4" w:space="0" w:color="auto"/>
              <w:bottom w:val="single" w:sz="4" w:space="0" w:color="auto"/>
              <w:right w:val="single" w:sz="4" w:space="0" w:color="auto"/>
            </w:tcBorders>
            <w:hideMark/>
          </w:tcPr>
          <w:p w:rsidR="007466A0" w:rsidRPr="00C23B7A" w:rsidRDefault="005E2104">
            <w:pPr>
              <w:spacing w:after="0"/>
              <w:rPr>
                <w:rFonts w:asciiTheme="minorHAnsi" w:hAnsiTheme="minorHAnsi" w:cstheme="minorHAnsi"/>
                <w:color w:val="000080"/>
              </w:rPr>
            </w:pPr>
            <w:r w:rsidRPr="00C23B7A">
              <w:rPr>
                <w:rFonts w:asciiTheme="minorHAnsi" w:hAnsiTheme="minorHAnsi" w:cstheme="minorHAnsi"/>
                <w:b/>
                <w:color w:val="000080"/>
              </w:rPr>
              <w:t>Comments</w:t>
            </w:r>
          </w:p>
        </w:tc>
      </w:tr>
      <w:tr w:rsidR="007466A0" w:rsidRPr="00C23B7A" w:rsidTr="007466A0">
        <w:tc>
          <w:tcPr>
            <w:tcW w:w="1278" w:type="dxa"/>
            <w:tcBorders>
              <w:top w:val="single" w:sz="4" w:space="0" w:color="auto"/>
              <w:left w:val="single" w:sz="4" w:space="0" w:color="auto"/>
              <w:bottom w:val="single" w:sz="4" w:space="0" w:color="auto"/>
              <w:right w:val="single" w:sz="4" w:space="0" w:color="auto"/>
            </w:tcBorders>
          </w:tcPr>
          <w:p w:rsidR="007466A0" w:rsidRPr="00C23B7A" w:rsidRDefault="005E2104">
            <w:pPr>
              <w:spacing w:after="0"/>
              <w:rPr>
                <w:rFonts w:asciiTheme="minorHAnsi" w:hAnsiTheme="minorHAnsi" w:cstheme="minorHAnsi"/>
                <w:color w:val="000080"/>
              </w:rPr>
            </w:pPr>
            <w:r w:rsidRPr="00C23B7A">
              <w:rPr>
                <w:rFonts w:asciiTheme="minorHAnsi" w:hAnsiTheme="minorHAnsi" w:cstheme="minorHAnsi"/>
                <w:color w:val="000080"/>
              </w:rPr>
              <w:t>Principle 1, ISSAI 20</w:t>
            </w:r>
          </w:p>
        </w:tc>
        <w:tc>
          <w:tcPr>
            <w:tcW w:w="2606" w:type="dxa"/>
            <w:tcBorders>
              <w:top w:val="single" w:sz="4" w:space="0" w:color="auto"/>
              <w:left w:val="single" w:sz="4" w:space="0" w:color="auto"/>
              <w:bottom w:val="single" w:sz="4" w:space="0" w:color="auto"/>
              <w:right w:val="single" w:sz="4" w:space="0" w:color="auto"/>
            </w:tcBorders>
            <w:hideMark/>
          </w:tcPr>
          <w:p w:rsidR="005E2104" w:rsidRPr="00C23B7A" w:rsidRDefault="005E2104" w:rsidP="005E2104">
            <w:pPr>
              <w:spacing w:after="0"/>
              <w:rPr>
                <w:rFonts w:asciiTheme="minorHAnsi" w:hAnsiTheme="minorHAnsi" w:cstheme="minorHAnsi"/>
                <w:color w:val="000080"/>
              </w:rPr>
            </w:pPr>
            <w:r w:rsidRPr="00C23B7A">
              <w:rPr>
                <w:rFonts w:asciiTheme="minorHAnsi" w:hAnsiTheme="minorHAnsi" w:cstheme="minorHAnsi"/>
                <w:color w:val="000080"/>
              </w:rPr>
              <w:t>The SAI has guiding legislation and regulations which holds it responsible and accountable</w:t>
            </w:r>
          </w:p>
          <w:p w:rsidR="007466A0" w:rsidRPr="00C23B7A" w:rsidRDefault="005E2104" w:rsidP="005E2104">
            <w:pPr>
              <w:spacing w:after="0"/>
              <w:ind w:left="-22"/>
              <w:rPr>
                <w:rFonts w:asciiTheme="minorHAnsi" w:hAnsiTheme="minorHAnsi" w:cstheme="minorHAnsi"/>
                <w:color w:val="000080"/>
              </w:rPr>
            </w:pPr>
            <w:r w:rsidRPr="00C23B7A">
              <w:rPr>
                <w:rFonts w:asciiTheme="minorHAnsi" w:hAnsiTheme="minorHAnsi" w:cstheme="minorHAnsi"/>
                <w:color w:val="000080"/>
              </w:rPr>
              <w:t xml:space="preserve">Such legislation and regulations cover </w:t>
            </w:r>
            <w:r w:rsidR="007466A0" w:rsidRPr="00C23B7A">
              <w:rPr>
                <w:rFonts w:asciiTheme="minorHAnsi" w:hAnsiTheme="minorHAnsi" w:cstheme="minorHAnsi"/>
                <w:color w:val="000080"/>
              </w:rPr>
              <w:t>timely publishing of audit reports</w:t>
            </w:r>
          </w:p>
        </w:tc>
        <w:tc>
          <w:tcPr>
            <w:tcW w:w="1985" w:type="dxa"/>
            <w:tcBorders>
              <w:top w:val="single" w:sz="4" w:space="0" w:color="auto"/>
              <w:left w:val="single" w:sz="4" w:space="0" w:color="auto"/>
              <w:bottom w:val="single" w:sz="4" w:space="0" w:color="auto"/>
              <w:right w:val="single" w:sz="4" w:space="0" w:color="auto"/>
            </w:tcBorders>
            <w:hideMark/>
          </w:tcPr>
          <w:p w:rsidR="007466A0" w:rsidRPr="00C23B7A" w:rsidRDefault="007953F6" w:rsidP="007953F6">
            <w:pPr>
              <w:spacing w:after="0"/>
              <w:rPr>
                <w:rFonts w:asciiTheme="minorHAnsi" w:hAnsiTheme="minorHAnsi" w:cstheme="minorHAnsi"/>
                <w:color w:val="000080"/>
              </w:rPr>
            </w:pPr>
            <w:r w:rsidRPr="00C23B7A">
              <w:rPr>
                <w:rFonts w:asciiTheme="minorHAnsi" w:hAnsiTheme="minorHAnsi" w:cstheme="minorHAnsi"/>
                <w:color w:val="000080"/>
              </w:rPr>
              <w:t xml:space="preserve">The National </w:t>
            </w:r>
            <w:r w:rsidR="007466A0" w:rsidRPr="00C23B7A">
              <w:rPr>
                <w:rFonts w:asciiTheme="minorHAnsi" w:hAnsiTheme="minorHAnsi" w:cstheme="minorHAnsi"/>
                <w:color w:val="000080"/>
              </w:rPr>
              <w:t>A</w:t>
            </w:r>
            <w:r w:rsidRPr="00C23B7A">
              <w:rPr>
                <w:rFonts w:asciiTheme="minorHAnsi" w:hAnsiTheme="minorHAnsi" w:cstheme="minorHAnsi"/>
                <w:color w:val="000080"/>
              </w:rPr>
              <w:t xml:space="preserve">udit Act </w:t>
            </w:r>
            <w:r w:rsidR="007466A0" w:rsidRPr="00C23B7A">
              <w:rPr>
                <w:rFonts w:asciiTheme="minorHAnsi" w:hAnsiTheme="minorHAnsi" w:cstheme="minorHAnsi"/>
                <w:color w:val="000080"/>
              </w:rPr>
              <w:t>de</w:t>
            </w:r>
            <w:r w:rsidRPr="00C23B7A">
              <w:rPr>
                <w:rFonts w:asciiTheme="minorHAnsi" w:hAnsiTheme="minorHAnsi" w:cstheme="minorHAnsi"/>
                <w:color w:val="000080"/>
              </w:rPr>
              <w:t>scribes</w:t>
            </w:r>
            <w:r w:rsidR="007466A0" w:rsidRPr="00C23B7A">
              <w:rPr>
                <w:rFonts w:asciiTheme="minorHAnsi" w:hAnsiTheme="minorHAnsi" w:cstheme="minorHAnsi"/>
                <w:color w:val="000080"/>
              </w:rPr>
              <w:t xml:space="preserve"> the procedure to be followed for publishing of audit reports, though there is no time limit prescribed for tabling of  report in the Parliament/ State Legislature</w:t>
            </w:r>
          </w:p>
        </w:tc>
        <w:tc>
          <w:tcPr>
            <w:tcW w:w="1165" w:type="dxa"/>
            <w:tcBorders>
              <w:top w:val="single" w:sz="4" w:space="0" w:color="auto"/>
              <w:left w:val="single" w:sz="4" w:space="0" w:color="auto"/>
              <w:bottom w:val="single" w:sz="4" w:space="0" w:color="auto"/>
              <w:right w:val="single" w:sz="4" w:space="0" w:color="auto"/>
            </w:tcBorders>
            <w:hideMark/>
          </w:tcPr>
          <w:p w:rsidR="007466A0" w:rsidRPr="00C23B7A" w:rsidRDefault="007466A0">
            <w:pPr>
              <w:spacing w:after="0"/>
              <w:rPr>
                <w:rFonts w:asciiTheme="minorHAnsi" w:hAnsiTheme="minorHAnsi" w:cstheme="minorHAnsi"/>
                <w:color w:val="000080"/>
              </w:rPr>
            </w:pPr>
            <w:r w:rsidRPr="00C23B7A">
              <w:rPr>
                <w:rFonts w:asciiTheme="minorHAnsi" w:hAnsiTheme="minorHAnsi" w:cstheme="minorHAnsi"/>
                <w:color w:val="000080"/>
              </w:rPr>
              <w:t>Met to some extent</w:t>
            </w:r>
          </w:p>
        </w:tc>
        <w:tc>
          <w:tcPr>
            <w:tcW w:w="1702" w:type="dxa"/>
            <w:tcBorders>
              <w:top w:val="single" w:sz="4" w:space="0" w:color="auto"/>
              <w:left w:val="single" w:sz="4" w:space="0" w:color="auto"/>
              <w:bottom w:val="single" w:sz="4" w:space="0" w:color="auto"/>
              <w:right w:val="single" w:sz="4" w:space="0" w:color="auto"/>
            </w:tcBorders>
            <w:hideMark/>
          </w:tcPr>
          <w:p w:rsidR="007466A0" w:rsidRPr="00C23B7A" w:rsidRDefault="007466A0">
            <w:pPr>
              <w:spacing w:after="0"/>
              <w:rPr>
                <w:rFonts w:asciiTheme="minorHAnsi" w:hAnsiTheme="minorHAnsi" w:cstheme="minorHAnsi"/>
                <w:color w:val="000080"/>
              </w:rPr>
            </w:pPr>
            <w:r w:rsidRPr="00C23B7A">
              <w:rPr>
                <w:rFonts w:asciiTheme="minorHAnsi" w:hAnsiTheme="minorHAnsi" w:cstheme="minorHAnsi"/>
                <w:color w:val="000080"/>
              </w:rPr>
              <w:t>Out of the six performance audit reports reviewed, it was noticed that all the reports were tabled. However, one report was tabled in the State Legislature six months after it was sent to the Government.</w:t>
            </w:r>
          </w:p>
        </w:tc>
        <w:tc>
          <w:tcPr>
            <w:tcW w:w="1702" w:type="dxa"/>
            <w:tcBorders>
              <w:top w:val="single" w:sz="4" w:space="0" w:color="auto"/>
              <w:left w:val="single" w:sz="4" w:space="0" w:color="auto"/>
              <w:bottom w:val="single" w:sz="4" w:space="0" w:color="auto"/>
              <w:right w:val="single" w:sz="4" w:space="0" w:color="auto"/>
            </w:tcBorders>
            <w:hideMark/>
          </w:tcPr>
          <w:p w:rsidR="007466A0" w:rsidRPr="00C23B7A" w:rsidRDefault="007466A0">
            <w:pPr>
              <w:spacing w:after="0"/>
              <w:rPr>
                <w:rFonts w:asciiTheme="minorHAnsi" w:hAnsiTheme="minorHAnsi" w:cstheme="minorHAnsi"/>
                <w:color w:val="000080"/>
              </w:rPr>
            </w:pPr>
            <w:r w:rsidRPr="00C23B7A">
              <w:rPr>
                <w:rFonts w:asciiTheme="minorHAnsi" w:hAnsiTheme="minorHAnsi" w:cstheme="minorHAnsi"/>
                <w:color w:val="000080"/>
              </w:rPr>
              <w:t>Maximum time limit for tabling of audit reports must be prescribed.</w:t>
            </w:r>
          </w:p>
        </w:tc>
      </w:tr>
    </w:tbl>
    <w:p w:rsidR="007466A0" w:rsidRPr="00C23B7A" w:rsidRDefault="007466A0">
      <w:pPr>
        <w:rPr>
          <w:rFonts w:asciiTheme="minorHAnsi" w:hAnsiTheme="minorHAnsi" w:cstheme="minorHAnsi"/>
        </w:rPr>
      </w:pPr>
    </w:p>
    <w:sectPr w:rsidR="007466A0" w:rsidRPr="00C23B7A" w:rsidSect="00D47F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12B9A"/>
    <w:multiLevelType w:val="hybridMultilevel"/>
    <w:tmpl w:val="B120902E"/>
    <w:lvl w:ilvl="0" w:tplc="3CE806BC">
      <w:start w:val="1"/>
      <w:numFmt w:val="decimal"/>
      <w:lvlText w:val="(%1)"/>
      <w:lvlJc w:val="left"/>
      <w:pPr>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E4A10"/>
    <w:rsid w:val="000F20DA"/>
    <w:rsid w:val="005A5FA5"/>
    <w:rsid w:val="005E2104"/>
    <w:rsid w:val="006B3A8B"/>
    <w:rsid w:val="007466A0"/>
    <w:rsid w:val="007953F6"/>
    <w:rsid w:val="008E4A10"/>
    <w:rsid w:val="00A63AC7"/>
    <w:rsid w:val="00C23B7A"/>
    <w:rsid w:val="00D32FE6"/>
    <w:rsid w:val="00D43D5C"/>
    <w:rsid w:val="00D47FD8"/>
    <w:rsid w:val="00F73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1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43216">
      <w:bodyDiv w:val="1"/>
      <w:marLeft w:val="0"/>
      <w:marRight w:val="0"/>
      <w:marTop w:val="0"/>
      <w:marBottom w:val="0"/>
      <w:divBdr>
        <w:top w:val="none" w:sz="0" w:space="0" w:color="auto"/>
        <w:left w:val="none" w:sz="0" w:space="0" w:color="auto"/>
        <w:bottom w:val="none" w:sz="0" w:space="0" w:color="auto"/>
        <w:right w:val="none" w:sz="0" w:space="0" w:color="auto"/>
      </w:divBdr>
    </w:div>
    <w:div w:id="82074096">
      <w:bodyDiv w:val="1"/>
      <w:marLeft w:val="0"/>
      <w:marRight w:val="0"/>
      <w:marTop w:val="0"/>
      <w:marBottom w:val="0"/>
      <w:divBdr>
        <w:top w:val="none" w:sz="0" w:space="0" w:color="auto"/>
        <w:left w:val="none" w:sz="0" w:space="0" w:color="auto"/>
        <w:bottom w:val="none" w:sz="0" w:space="0" w:color="auto"/>
        <w:right w:val="none" w:sz="0" w:space="0" w:color="auto"/>
      </w:divBdr>
    </w:div>
    <w:div w:id="436562063">
      <w:bodyDiv w:val="1"/>
      <w:marLeft w:val="0"/>
      <w:marRight w:val="0"/>
      <w:marTop w:val="0"/>
      <w:marBottom w:val="0"/>
      <w:divBdr>
        <w:top w:val="none" w:sz="0" w:space="0" w:color="auto"/>
        <w:left w:val="none" w:sz="0" w:space="0" w:color="auto"/>
        <w:bottom w:val="none" w:sz="0" w:space="0" w:color="auto"/>
        <w:right w:val="none" w:sz="0" w:space="0" w:color="auto"/>
      </w:divBdr>
    </w:div>
    <w:div w:id="522207751">
      <w:bodyDiv w:val="1"/>
      <w:marLeft w:val="0"/>
      <w:marRight w:val="0"/>
      <w:marTop w:val="0"/>
      <w:marBottom w:val="0"/>
      <w:divBdr>
        <w:top w:val="none" w:sz="0" w:space="0" w:color="auto"/>
        <w:left w:val="none" w:sz="0" w:space="0" w:color="auto"/>
        <w:bottom w:val="none" w:sz="0" w:space="0" w:color="auto"/>
        <w:right w:val="none" w:sz="0" w:space="0" w:color="auto"/>
      </w:divBdr>
    </w:div>
    <w:div w:id="1473710957">
      <w:bodyDiv w:val="1"/>
      <w:marLeft w:val="0"/>
      <w:marRight w:val="0"/>
      <w:marTop w:val="0"/>
      <w:marBottom w:val="0"/>
      <w:divBdr>
        <w:top w:val="none" w:sz="0" w:space="0" w:color="auto"/>
        <w:left w:val="none" w:sz="0" w:space="0" w:color="auto"/>
        <w:bottom w:val="none" w:sz="0" w:space="0" w:color="auto"/>
        <w:right w:val="none" w:sz="0" w:space="0" w:color="auto"/>
      </w:divBdr>
    </w:div>
    <w:div w:id="1802724137">
      <w:bodyDiv w:val="1"/>
      <w:marLeft w:val="0"/>
      <w:marRight w:val="0"/>
      <w:marTop w:val="0"/>
      <w:marBottom w:val="0"/>
      <w:divBdr>
        <w:top w:val="none" w:sz="0" w:space="0" w:color="auto"/>
        <w:left w:val="none" w:sz="0" w:space="0" w:color="auto"/>
        <w:bottom w:val="none" w:sz="0" w:space="0" w:color="auto"/>
        <w:right w:val="none" w:sz="0" w:space="0" w:color="auto"/>
      </w:divBdr>
    </w:div>
    <w:div w:id="1970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SHO</cp:lastModifiedBy>
  <cp:revision>10</cp:revision>
  <dcterms:created xsi:type="dcterms:W3CDTF">2012-12-14T14:58:00Z</dcterms:created>
  <dcterms:modified xsi:type="dcterms:W3CDTF">2012-12-14T17:39:00Z</dcterms:modified>
</cp:coreProperties>
</file>